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Heratio GLAM Browse - How It Works</w:t>
      </w:r>
    </w:p>
    <w:p>
      <w:r>
        <w:rPr>
          <w:i/>
          <w:color w:val="666666"/>
        </w:rPr>
        <w:t>A plain-language guide to understanding the unified browse interface for Galleries, Libraries, Archives, Museums, and Digital Asset Management.</w:t>
      </w:r>
    </w:p>
    <w:p>
      <w:pPr>
        <w:spacing w:before="80" w:after="80"/>
      </w:pPr>
      <w:r>
        <w:rPr>
          <w:color w:val="CCCCCC"/>
          <w:sz w:val="12"/>
        </w:rPr>
        <w:t>────────────────────────────────────────────────────────────────────────────────</w:t>
      </w:r>
    </w:p>
    <w:p>
      <w:pPr>
        <w:pStyle w:val="Heading2"/>
      </w:pPr>
      <w:r>
        <w:t>What Is GLAM Browse?</w:t>
      </w:r>
    </w:p>
    <w:p>
      <w:r>
        <w:t>GLAM Browse is the main way people explore your collection. Instead of separate pages for archives, museums, and libraries, everything lives in one unified browse interface that automatically adapts to the type of record being viewed.</w:t>
      </w:r>
    </w:p>
    <w:p>
      <w:r>
        <w:t>It detects whether a record is an archive item, a museum object, a library book, a gallery piece, or a digital asset — and shows the right fields and layout for each.</w:t>
      </w:r>
    </w:p>
    <w:p>
      <w:pPr>
        <w:pStyle w:val="Heading2"/>
      </w:pPr>
      <w:r>
        <w:t>How It Works</w:t>
      </w:r>
    </w:p>
    <w:p>
      <w:pPr>
        <w:spacing w:before="20" w:after="20"/>
        <w:ind w:left="1134"/>
      </w:pPr>
      <w:r>
        <w:rPr>
          <w:rFonts w:ascii="Consolas" w:hAnsi="Consolas"/>
          <w:sz w:val="19"/>
        </w:rPr>
        <w:t xml:space="preserve">  User visits the browse page</w:t>
      </w:r>
    </w:p>
    <w:p>
      <w:pPr>
        <w:spacing w:before="0" w:after="0"/>
        <w:ind w:left="1134"/>
      </w:pPr>
      <w:r>
        <w:rPr>
          <w:rFonts w:ascii="Consolas" w:hAnsi="Consolas"/>
          <w:color w:val="999999"/>
          <w:sz w:val="19"/>
        </w:rPr>
        <w:t xml:space="preserve">       │</w:t>
      </w:r>
    </w:p>
    <w:p>
      <w:pPr>
        <w:spacing w:before="0" w:after="0"/>
        <w:ind w:left="1134"/>
      </w:pPr>
      <w:r>
        <w:rPr>
          <w:rFonts w:ascii="Consolas" w:hAnsi="Consolas"/>
          <w:color w:val="999999"/>
          <w:sz w:val="19"/>
        </w:rPr>
        <w:t xml:space="preserve">       ▼</w:t>
      </w:r>
    </w:p>
    <w:p>
      <w:pPr>
        <w:spacing w:before="20" w:after="20"/>
        <w:ind w:left="1134"/>
      </w:pPr>
      <w:r>
        <w:rPr>
          <w:rFonts w:ascii="Consolas" w:hAnsi="Consolas"/>
          <w:sz w:val="19"/>
        </w:rPr>
        <w:t xml:space="preserve">  System detects each record's GLAM sector</w:t>
      </w:r>
    </w:p>
    <w:p>
      <w:pPr>
        <w:spacing w:before="0" w:after="0"/>
        <w:ind w:left="1134"/>
      </w:pPr>
      <w:r>
        <w:rPr>
          <w:rFonts w:ascii="Consolas" w:hAnsi="Consolas"/>
          <w:color w:val="999999"/>
          <w:sz w:val="19"/>
        </w:rPr>
        <w:t xml:space="preserve">       │</w:t>
      </w:r>
    </w:p>
    <w:p>
      <w:pPr>
        <w:spacing w:before="0" w:after="0"/>
        <w:ind w:left="1134"/>
      </w:pPr>
      <w:r>
        <w:rPr>
          <w:rFonts w:ascii="Consolas" w:hAnsi="Consolas"/>
          <w:color w:val="999999"/>
          <w:sz w:val="19"/>
        </w:rPr>
        <w:t xml:space="preserve">       ▼</w:t>
      </w:r>
    </w:p>
    <w:p>
      <w:pPr>
        <w:spacing w:before="20" w:after="20"/>
        <w:ind w:left="1134"/>
      </w:pPr>
      <w:r>
        <w:rPr>
          <w:rFonts w:ascii="Consolas" w:hAnsi="Consolas"/>
          <w:sz w:val="19"/>
        </w:rPr>
        <w:t xml:space="preserve">  Cards show sector-specific icons and badges</w:t>
      </w:r>
    </w:p>
    <w:p>
      <w:pPr>
        <w:spacing w:before="0" w:after="0"/>
        <w:ind w:left="1134"/>
      </w:pPr>
      <w:r>
        <w:rPr>
          <w:rFonts w:ascii="Consolas" w:hAnsi="Consolas"/>
          <w:color w:val="999999"/>
          <w:sz w:val="19"/>
        </w:rPr>
        <w:t xml:space="preserve">       │</w:t>
      </w:r>
    </w:p>
    <w:p>
      <w:pPr>
        <w:spacing w:before="0" w:after="0"/>
        <w:ind w:left="1134"/>
      </w:pPr>
      <w:r>
        <w:rPr>
          <w:rFonts w:ascii="Consolas" w:hAnsi="Consolas"/>
          <w:color w:val="999999"/>
          <w:sz w:val="19"/>
        </w:rPr>
        <w:t xml:space="preserve">       ▼</w:t>
      </w:r>
    </w:p>
    <w:p>
      <w:pPr>
        <w:spacing w:before="20" w:after="20"/>
        <w:ind w:left="1134"/>
      </w:pPr>
      <w:r>
        <w:rPr>
          <w:rFonts w:ascii="Consolas" w:hAnsi="Consolas"/>
          <w:sz w:val="19"/>
        </w:rPr>
        <w:t xml:space="preserve">  User clicks a record</w:t>
      </w:r>
    </w:p>
    <w:p>
      <w:pPr>
        <w:spacing w:before="0" w:after="0"/>
        <w:ind w:left="1134"/>
      </w:pPr>
      <w:r>
        <w:rPr>
          <w:rFonts w:ascii="Consolas" w:hAnsi="Consolas"/>
          <w:color w:val="999999"/>
          <w:sz w:val="19"/>
        </w:rPr>
        <w:t xml:space="preserve">       │</w:t>
      </w:r>
    </w:p>
    <w:p>
      <w:pPr>
        <w:spacing w:before="0" w:after="0"/>
        <w:ind w:left="1134"/>
      </w:pPr>
      <w:r>
        <w:rPr>
          <w:rFonts w:ascii="Consolas" w:hAnsi="Consolas"/>
          <w:color w:val="999999"/>
          <w:sz w:val="19"/>
        </w:rPr>
        <w:t xml:space="preserve">       ▼</w:t>
      </w:r>
    </w:p>
    <w:p>
      <w:pPr>
        <w:spacing w:before="20" w:after="20"/>
        <w:ind w:left="1134"/>
      </w:pPr>
      <w:r>
        <w:rPr>
          <w:rFonts w:ascii="Consolas" w:hAnsi="Consolas"/>
          <w:sz w:val="19"/>
        </w:rPr>
        <w:t xml:space="preserve">  Viewer shows the correct template (Archive/Museum/Library/Gallery/DAM)</w:t>
      </w:r>
    </w:p>
    <w:p>
      <w:pPr>
        <w:pStyle w:val="Heading2"/>
      </w:pPr>
      <w:r>
        <w:t>Browse Features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56db"/>
          </w:tcPr>
          <w:p>
            <w:pPr>
              <w:jc w:val="left"/>
            </w:pPr>
            <w:r>
              <w:rPr>
                <w:b/>
                <w:color w:val="FFFFFF"/>
                <w:sz w:val="19"/>
              </w:rPr>
              <w:t>Feature</w:t>
            </w:r>
          </w:p>
        </w:tc>
        <w:tc>
          <w:tcPr>
            <w:tcW w:type="dxa" w:w="4703"/>
            <w:shd w:val="clear" w:color="auto" w:fill="1a56db"/>
          </w:tcPr>
          <w:p>
            <w:pPr>
              <w:jc w:val="left"/>
            </w:pPr>
            <w:r>
              <w:rPr>
                <w:b/>
                <w:color w:val="FFFFFF"/>
                <w:sz w:val="19"/>
              </w:rPr>
              <w:t>Description</w:t>
            </w:r>
          </w:p>
        </w:tc>
      </w:tr>
      <w:tr>
        <w:tc>
          <w:tcPr>
            <w:tcW w:type="dxa" w:w="4703"/>
          </w:tcPr>
          <w:p>
            <w:r>
              <w:rPr>
                <w:sz w:val="19"/>
              </w:rPr>
              <w:t>Faceted Filtering</w:t>
            </w:r>
          </w:p>
        </w:tc>
        <w:tc>
          <w:tcPr>
            <w:tcW w:type="dxa" w:w="4703"/>
          </w:tcPr>
          <w:p>
            <w:r>
              <w:rPr>
                <w:sz w:val="19"/>
              </w:rPr>
              <w:t>Filter by sector, repository, date range, media type, level of description</w:t>
            </w:r>
          </w:p>
        </w:tc>
      </w:tr>
      <w:tr>
        <w:tc>
          <w:tcPr>
            <w:tcW w:type="dxa" w:w="4703"/>
            <w:shd w:val="clear" w:color="auto" w:fill="f0f4ff"/>
          </w:tcPr>
          <w:p>
            <w:r>
              <w:rPr>
                <w:sz w:val="19"/>
              </w:rPr>
              <w:t>Dynamic Facet Counts</w:t>
            </w:r>
          </w:p>
        </w:tc>
        <w:tc>
          <w:tcPr>
            <w:tcW w:type="dxa" w:w="4703"/>
            <w:shd w:val="clear" w:color="auto" w:fill="f0f4ff"/>
          </w:tcPr>
          <w:p>
            <w:r>
              <w:rPr>
                <w:sz w:val="19"/>
              </w:rPr>
              <w:t>See how many records match each filter in real time</w:t>
            </w:r>
          </w:p>
        </w:tc>
      </w:tr>
      <w:tr>
        <w:tc>
          <w:tcPr>
            <w:tcW w:type="dxa" w:w="4703"/>
          </w:tcPr>
          <w:p>
            <w:r>
              <w:rPr>
                <w:sz w:val="19"/>
              </w:rPr>
              <w:t>Grid &amp; List Views</w:t>
            </w:r>
          </w:p>
        </w:tc>
        <w:tc>
          <w:tcPr>
            <w:tcW w:type="dxa" w:w="4703"/>
          </w:tcPr>
          <w:p>
            <w:r>
              <w:rPr>
                <w:sz w:val="19"/>
              </w:rPr>
              <w:t>Switch between card grid and compact list</w:t>
            </w:r>
          </w:p>
        </w:tc>
      </w:tr>
      <w:tr>
        <w:tc>
          <w:tcPr>
            <w:tcW w:type="dxa" w:w="4703"/>
            <w:shd w:val="clear" w:color="auto" w:fill="f0f4ff"/>
          </w:tcPr>
          <w:p>
            <w:r>
              <w:rPr>
                <w:sz w:val="19"/>
              </w:rPr>
              <w:t>Sorting</w:t>
            </w:r>
          </w:p>
        </w:tc>
        <w:tc>
          <w:tcPr>
            <w:tcW w:type="dxa" w:w="4703"/>
            <w:shd w:val="clear" w:color="auto" w:fill="f0f4ff"/>
          </w:tcPr>
          <w:p>
            <w:r>
              <w:rPr>
                <w:sz w:val="19"/>
              </w:rPr>
              <w:t>Sort by title, date, relevance, or most recent</w:t>
            </w:r>
          </w:p>
        </w:tc>
      </w:tr>
      <w:tr>
        <w:tc>
          <w:tcPr>
            <w:tcW w:type="dxa" w:w="4703"/>
          </w:tcPr>
          <w:p>
            <w:r>
              <w:rPr>
                <w:sz w:val="19"/>
              </w:rPr>
              <w:t>Sector Badges</w:t>
            </w:r>
          </w:p>
        </w:tc>
        <w:tc>
          <w:tcPr>
            <w:tcW w:type="dxa" w:w="4703"/>
          </w:tcPr>
          <w:p>
            <w:r>
              <w:rPr>
                <w:sz w:val="19"/>
              </w:rPr>
              <w:t>Each card shows a colour-coded badge (Gallery=purple, Museum=teal, Archive=blue, Library=green, DAM=orange)</w:t>
            </w:r>
          </w:p>
        </w:tc>
      </w:tr>
      <w:tr>
        <w:tc>
          <w:tcPr>
            <w:tcW w:type="dxa" w:w="4703"/>
            <w:shd w:val="clear" w:color="auto" w:fill="f0f4ff"/>
          </w:tcPr>
          <w:p>
            <w:r>
              <w:rPr>
                <w:sz w:val="19"/>
              </w:rPr>
              <w:t>Quick Preview</w:t>
            </w:r>
          </w:p>
        </w:tc>
        <w:tc>
          <w:tcPr>
            <w:tcW w:type="dxa" w:w="4703"/>
            <w:shd w:val="clear" w:color="auto" w:fill="f0f4ff"/>
          </w:tcPr>
          <w:p>
            <w:r>
              <w:rPr>
                <w:sz w:val="19"/>
              </w:rPr>
              <w:t>Hover over a card to see a thumbnail and key fields</w:t>
            </w:r>
          </w:p>
        </w:tc>
      </w:tr>
      <w:tr>
        <w:tc>
          <w:tcPr>
            <w:tcW w:type="dxa" w:w="4703"/>
          </w:tcPr>
          <w:p>
            <w:r>
              <w:rPr>
                <w:sz w:val="19"/>
              </w:rPr>
              <w:t>Full-Text Search</w:t>
            </w:r>
          </w:p>
        </w:tc>
        <w:tc>
          <w:tcPr>
            <w:tcW w:type="dxa" w:w="4703"/>
          </w:tcPr>
          <w:p>
            <w:r>
              <w:rPr>
                <w:sz w:val="19"/>
              </w:rPr>
              <w:t>Search across titles, descriptions, and all metadata fields</w:t>
            </w:r>
          </w:p>
        </w:tc>
      </w:tr>
    </w:tbl>
    <w:p/>
    <w:p>
      <w:pPr>
        <w:pStyle w:val="Heading2"/>
      </w:pPr>
      <w:r>
        <w:t>Sector Detection</w:t>
      </w:r>
    </w:p>
    <w:p>
      <w:r>
        <w:t>The system automatically detects what sector a record belongs to by checking:</w:t>
      </w:r>
    </w:p>
    <w:p>
      <w:pPr>
        <w:pStyle w:val="ListBullet"/>
      </w:pPr>
      <w:r>
        <w:t>The display standard assigned to the record (ISAD, CCO/Spectrum, MARC, Dublin Core, DAM)</w:t>
      </w:r>
    </w:p>
    <w:p>
      <w:pPr>
        <w:pStyle w:val="ListBullet"/>
      </w:pPr>
      <w:r>
        <w:t>The repository's configured sector</w:t>
      </w:r>
    </w:p>
    <w:p>
      <w:pPr>
        <w:pStyle w:val="ListBullet"/>
      </w:pPr>
      <w:r>
        <w:t>The level of description type</w:t>
      </w:r>
    </w:p>
    <w:p>
      <w:r>
        <w:t>This detection happens once and is cached for fast browsing. Administrators can run a re-detection command if records change.</w:t>
      </w:r>
    </w:p>
    <w:p>
      <w:pPr>
        <w:pStyle w:val="Heading2"/>
      </w:pPr>
      <w:r>
        <w:t>For Administrators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56db"/>
          </w:tcPr>
          <w:p>
            <w:pPr>
              <w:jc w:val="left"/>
            </w:pPr>
            <w:r>
              <w:rPr>
                <w:b/>
                <w:color w:val="FFFFFF"/>
                <w:sz w:val="19"/>
              </w:rPr>
              <w:t>Task</w:t>
            </w:r>
          </w:p>
        </w:tc>
        <w:tc>
          <w:tcPr>
            <w:tcW w:type="dxa" w:w="4703"/>
            <w:shd w:val="clear" w:color="auto" w:fill="1a56db"/>
          </w:tcPr>
          <w:p>
            <w:pPr>
              <w:jc w:val="left"/>
            </w:pPr>
            <w:r>
              <w:rPr>
                <w:b/>
                <w:color w:val="FFFFFF"/>
                <w:sz w:val="19"/>
              </w:rPr>
              <w:t>How</w:t>
            </w:r>
          </w:p>
        </w:tc>
      </w:tr>
      <w:tr>
        <w:tc>
          <w:tcPr>
            <w:tcW w:type="dxa" w:w="4703"/>
          </w:tcPr>
          <w:p>
            <w:r>
              <w:rPr>
                <w:sz w:val="19"/>
              </w:rPr>
              <w:t>Re-detect sectors</w:t>
            </w:r>
          </w:p>
        </w:tc>
        <w:tc>
          <w:tcPr>
            <w:tcW w:type="dxa" w:w="4703"/>
          </w:tcPr>
          <w:p>
            <w:r>
              <w:rPr>
                <w:sz w:val="19"/>
              </w:rPr>
              <w:t>Admin &gt; CLI: php symfony display:auto-detect</w:t>
            </w:r>
          </w:p>
        </w:tc>
      </w:tr>
      <w:tr>
        <w:tc>
          <w:tcPr>
            <w:tcW w:type="dxa" w:w="4703"/>
            <w:shd w:val="clear" w:color="auto" w:fill="f0f4ff"/>
          </w:tcPr>
          <w:p>
            <w:r>
              <w:rPr>
                <w:sz w:val="19"/>
              </w:rPr>
              <w:t>Refresh facet cache</w:t>
            </w:r>
          </w:p>
        </w:tc>
        <w:tc>
          <w:tcPr>
            <w:tcW w:type="dxa" w:w="4703"/>
            <w:shd w:val="clear" w:color="auto" w:fill="f0f4ff"/>
          </w:tcPr>
          <w:p>
            <w:r>
              <w:rPr>
                <w:sz w:val="19"/>
              </w:rPr>
              <w:t>Admin &gt; CLI: php symfony ahg:refresh-facet-cache</w:t>
            </w:r>
          </w:p>
        </w:tc>
      </w:tr>
      <w:tr>
        <w:tc>
          <w:tcPr>
            <w:tcW w:type="dxa" w:w="4703"/>
          </w:tcPr>
          <w:p>
            <w:r>
              <w:rPr>
                <w:sz w:val="19"/>
              </w:rPr>
              <w:t>Rebuild search index</w:t>
            </w:r>
          </w:p>
        </w:tc>
        <w:tc>
          <w:tcPr>
            <w:tcW w:type="dxa" w:w="4703"/>
          </w:tcPr>
          <w:p>
            <w:r>
              <w:rPr>
                <w:sz w:val="19"/>
              </w:rPr>
              <w:t>Admin &gt; CLI: php symfony search:populate</w:t>
            </w:r>
          </w:p>
        </w:tc>
      </w:tr>
    </w:tbl>
    <w:p/>
    <w:p>
      <w:pPr>
        <w:spacing w:before="80" w:after="80"/>
      </w:pPr>
      <w:r>
        <w:rPr>
          <w:color w:val="CCCCCC"/>
          <w:sz w:val="12"/>
        </w:rPr>
        <w:t>────────────────────────────────────────────────────────────────────────────────</w:t>
      </w:r>
    </w:p>
    <w:p>
      <w:r>
        <w:rPr>
          <w:i/>
          <w:color w:val="999999"/>
          <w:sz w:val="18"/>
        </w:rPr>
        <w:t>This module is part of the Heratio platform by The Archive and Heritage Group.</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56DB"/>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56DB"/>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56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