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GraphQL API - How It Works</w:t>
      </w:r>
    </w:p>
    <w:p>
      <w:r>
        <w:rPr>
          <w:i/>
          <w:color w:val="666666"/>
        </w:rPr>
        <w:t>A plain-language guide to understanding the GraphQL API for developers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GraphQL API?</w:t>
      </w:r>
    </w:p>
    <w:p>
      <w:r>
        <w:t>GraphQL is a modern way for external applications to query your collection data. Unlike traditional APIs where you get fixed blocks of data, GraphQL lets you ask for exactly the fields you need — making it faster and more flexible for app developers.</w:t>
      </w:r>
    </w:p>
    <w:p>
      <w:pPr>
        <w:pStyle w:val="Heading2"/>
      </w:pPr>
      <w:r>
        <w:t>Example</w:t>
      </w:r>
    </w:p>
    <w:p>
      <w:r>
        <w:t>A developer building a mobile app can say "Give me the title, date, and thumbnail for the 10 newest records in the Gallery sector" and get exactly that — nothing more, nothing less.</w:t>
      </w:r>
    </w:p>
    <w:p>
      <w:pPr>
        <w:pStyle w:val="Heading2"/>
      </w:pPr>
      <w:r>
        <w:t>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Safeguard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Authentication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API key or session token required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Query Depth Limit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Prevents overly complex queries that could slow the server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Rate Limiting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Maximum queries per minute to prevent abuse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Field Permissions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Respects ACL — users only see what they're allowed to see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