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Heratio Heritage Accounting - How It Works</w:t>
      </w:r>
    </w:p>
    <w:p>
      <w:r>
        <w:rPr>
          <w:i/>
          <w:color w:val="666666"/>
        </w:rPr>
        <w:t>A plain-language guide to understanding heritage asset valuation and financial reporting in your Heratio platform.</w:t>
      </w:r>
    </w:p>
    <w:p>
      <w:pPr>
        <w:spacing w:before="80" w:after="80"/>
      </w:pPr>
      <w:r>
        <w:rPr>
          <w:color w:val="CCCCCC"/>
          <w:sz w:val="12"/>
        </w:rPr>
        <w:t>────────────────────────────────────────────────────────────────────────────────</w:t>
      </w:r>
    </w:p>
    <w:p>
      <w:pPr>
        <w:pStyle w:val="Heading2"/>
      </w:pPr>
      <w:r>
        <w:t>What Is Heritage Accounting?</w:t>
      </w:r>
    </w:p>
    <w:p>
      <w:r>
        <w:t>Heritage Accounting tracks the financial value of your collection for regulatory reporting. Based on GRAP 103 (South Africa) and aligned with IPSAS 45 (international), it helps government and public institutions report the value of their heritage assets in financial statements.</w:t>
      </w:r>
    </w:p>
    <w:p>
      <w:pPr>
        <w:pStyle w:val="Heading2"/>
      </w:pPr>
      <w:r>
        <w:t>Key Concepts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56db"/>
          </w:tcPr>
          <w:p>
            <w:pPr>
              <w:jc w:val="left"/>
            </w:pPr>
            <w:r>
              <w:rPr>
                <w:b/>
                <w:color w:val="FFFFFF"/>
                <w:sz w:val="19"/>
              </w:rPr>
              <w:t>Concept</w:t>
            </w:r>
          </w:p>
        </w:tc>
        <w:tc>
          <w:tcPr>
            <w:tcW w:type="dxa" w:w="4703"/>
            <w:shd w:val="clear" w:color="auto" w:fill="1a56db"/>
          </w:tcPr>
          <w:p>
            <w:pPr>
              <w:jc w:val="left"/>
            </w:pPr>
            <w:r>
              <w:rPr>
                <w:b/>
                <w:color w:val="FFFFFF"/>
                <w:sz w:val="19"/>
              </w:rPr>
              <w:t>Plain Language</w:t>
            </w:r>
          </w:p>
        </w:tc>
      </w:tr>
      <w:tr>
        <w:tc>
          <w:tcPr>
            <w:tcW w:type="dxa" w:w="4703"/>
          </w:tcPr>
          <w:p>
            <w:r>
              <w:rPr>
                <w:sz w:val="19"/>
              </w:rPr>
              <w:t>Heritage Asset</w:t>
            </w:r>
          </w:p>
        </w:tc>
        <w:tc>
          <w:tcPr>
            <w:tcW w:type="dxa" w:w="4703"/>
          </w:tcPr>
          <w:p>
            <w:r>
              <w:rPr>
                <w:sz w:val="19"/>
              </w:rPr>
              <w:t>An item of cultural, historical, or natural significance held for public benefit</w:t>
            </w:r>
          </w:p>
        </w:tc>
      </w:tr>
      <w:tr>
        <w:tc>
          <w:tcPr>
            <w:tcW w:type="dxa" w:w="4703"/>
            <w:shd w:val="clear" w:color="auto" w:fill="f0f4ff"/>
          </w:tcPr>
          <w:p>
            <w:r>
              <w:rPr>
                <w:sz w:val="19"/>
              </w:rPr>
              <w:t>Valuation</w:t>
            </w:r>
          </w:p>
        </w:tc>
        <w:tc>
          <w:tcPr>
            <w:tcW w:type="dxa" w:w="4703"/>
            <w:shd w:val="clear" w:color="auto" w:fill="f0f4ff"/>
          </w:tcPr>
          <w:p>
            <w:r>
              <w:rPr>
                <w:sz w:val="19"/>
              </w:rPr>
              <w:t>How much the asset is worth (market value, insurance value, or replacement cost)</w:t>
            </w:r>
          </w:p>
        </w:tc>
      </w:tr>
      <w:tr>
        <w:tc>
          <w:tcPr>
            <w:tcW w:type="dxa" w:w="4703"/>
          </w:tcPr>
          <w:p>
            <w:r>
              <w:rPr>
                <w:sz w:val="19"/>
              </w:rPr>
              <w:t>Depreciation</w:t>
            </w:r>
          </w:p>
        </w:tc>
        <w:tc>
          <w:tcPr>
            <w:tcW w:type="dxa" w:w="4703"/>
          </w:tcPr>
          <w:p>
            <w:r>
              <w:rPr>
                <w:sz w:val="19"/>
              </w:rPr>
              <w:t>For some assets, value decreases over time (not usually applied to heritage)</w:t>
            </w:r>
          </w:p>
        </w:tc>
      </w:tr>
      <w:tr>
        <w:tc>
          <w:tcPr>
            <w:tcW w:type="dxa" w:w="4703"/>
            <w:shd w:val="clear" w:color="auto" w:fill="f0f4ff"/>
          </w:tcPr>
          <w:p>
            <w:r>
              <w:rPr>
                <w:sz w:val="19"/>
              </w:rPr>
              <w:t>Impairment</w:t>
            </w:r>
          </w:p>
        </w:tc>
        <w:tc>
          <w:tcPr>
            <w:tcW w:type="dxa" w:w="4703"/>
            <w:shd w:val="clear" w:color="auto" w:fill="f0f4ff"/>
          </w:tcPr>
          <w:p>
            <w:r>
              <w:rPr>
                <w:sz w:val="19"/>
              </w:rPr>
              <w:t>When an asset loses value due to damage or deterioration</w:t>
            </w:r>
          </w:p>
        </w:tc>
      </w:tr>
      <w:tr>
        <w:tc>
          <w:tcPr>
            <w:tcW w:type="dxa" w:w="4703"/>
          </w:tcPr>
          <w:p>
            <w:r>
              <w:rPr>
                <w:sz w:val="19"/>
              </w:rPr>
              <w:t>GRAP 103</w:t>
            </w:r>
          </w:p>
        </w:tc>
        <w:tc>
          <w:tcPr>
            <w:tcW w:type="dxa" w:w="4703"/>
          </w:tcPr>
          <w:p>
            <w:r>
              <w:rPr>
                <w:sz w:val="19"/>
              </w:rPr>
              <w:t>South African accounting standard for heritage assets</w:t>
            </w:r>
          </w:p>
        </w:tc>
      </w:tr>
      <w:tr>
        <w:tc>
          <w:tcPr>
            <w:tcW w:type="dxa" w:w="4703"/>
            <w:shd w:val="clear" w:color="auto" w:fill="f0f4ff"/>
          </w:tcPr>
          <w:p>
            <w:r>
              <w:rPr>
                <w:sz w:val="19"/>
              </w:rPr>
              <w:t>IPSAS 45</w:t>
            </w:r>
          </w:p>
        </w:tc>
        <w:tc>
          <w:tcPr>
            <w:tcW w:type="dxa" w:w="4703"/>
            <w:shd w:val="clear" w:color="auto" w:fill="f0f4ff"/>
          </w:tcPr>
          <w:p>
            <w:r>
              <w:rPr>
                <w:sz w:val="19"/>
              </w:rPr>
              <w:t>International equivalent — Property, Plant and Equipment for public sector</w:t>
            </w:r>
          </w:p>
        </w:tc>
      </w:tr>
    </w:tbl>
    <w:p/>
    <w:p>
      <w:pPr>
        <w:pStyle w:val="Heading2"/>
      </w:pPr>
      <w:r>
        <w:t>Valuation Flow</w:t>
      </w:r>
    </w:p>
    <w:p>
      <w:pPr>
        <w:spacing w:before="20" w:after="20"/>
        <w:ind w:left="1134"/>
      </w:pPr>
      <w:r>
        <w:rPr>
          <w:rFonts w:ascii="Consolas" w:hAnsi="Consolas"/>
          <w:sz w:val="19"/>
        </w:rPr>
        <w:t xml:space="preserve">  Identify heritage assets in your collection</w:t>
      </w:r>
    </w:p>
    <w:p>
      <w:pPr>
        <w:spacing w:before="0" w:after="0"/>
        <w:ind w:left="1134"/>
      </w:pPr>
      <w:r>
        <w:rPr>
          <w:rFonts w:ascii="Consolas" w:hAnsi="Consolas"/>
          <w:color w:val="999999"/>
          <w:sz w:val="19"/>
        </w:rPr>
        <w:t xml:space="preserve">       │</w:t>
      </w:r>
    </w:p>
    <w:p>
      <w:pPr>
        <w:spacing w:before="0" w:after="0"/>
        <w:ind w:left="1134"/>
      </w:pPr>
      <w:r>
        <w:rPr>
          <w:rFonts w:ascii="Consolas" w:hAnsi="Consolas"/>
          <w:color w:val="999999"/>
          <w:sz w:val="19"/>
        </w:rPr>
        <w:t xml:space="preserve">       ▼</w:t>
      </w:r>
    </w:p>
    <w:p>
      <w:pPr>
        <w:spacing w:before="20" w:after="20"/>
        <w:ind w:left="1134"/>
      </w:pPr>
      <w:r>
        <w:rPr>
          <w:rFonts w:ascii="Consolas" w:hAnsi="Consolas"/>
          <w:sz w:val="19"/>
        </w:rPr>
        <w:t xml:space="preserve">  Assign valuations (cost, fair value, or nominal value)</w:t>
      </w:r>
    </w:p>
    <w:p>
      <w:pPr>
        <w:spacing w:before="0" w:after="0"/>
        <w:ind w:left="1134"/>
      </w:pPr>
      <w:r>
        <w:rPr>
          <w:rFonts w:ascii="Consolas" w:hAnsi="Consolas"/>
          <w:color w:val="999999"/>
          <w:sz w:val="19"/>
        </w:rPr>
        <w:t xml:space="preserve">       │</w:t>
      </w:r>
    </w:p>
    <w:p>
      <w:pPr>
        <w:spacing w:before="0" w:after="0"/>
        <w:ind w:left="1134"/>
      </w:pPr>
      <w:r>
        <w:rPr>
          <w:rFonts w:ascii="Consolas" w:hAnsi="Consolas"/>
          <w:color w:val="999999"/>
          <w:sz w:val="19"/>
        </w:rPr>
        <w:t xml:space="preserve">       ▼</w:t>
      </w:r>
    </w:p>
    <w:p>
      <w:pPr>
        <w:spacing w:before="20" w:after="20"/>
        <w:ind w:left="1134"/>
      </w:pPr>
      <w:r>
        <w:rPr>
          <w:rFonts w:ascii="Consolas" w:hAnsi="Consolas"/>
          <w:sz w:val="19"/>
        </w:rPr>
        <w:t xml:space="preserve">  Record valuation method and date</w:t>
      </w:r>
    </w:p>
    <w:p>
      <w:pPr>
        <w:spacing w:before="0" w:after="0"/>
        <w:ind w:left="1134"/>
      </w:pPr>
      <w:r>
        <w:rPr>
          <w:rFonts w:ascii="Consolas" w:hAnsi="Consolas"/>
          <w:color w:val="999999"/>
          <w:sz w:val="19"/>
        </w:rPr>
        <w:t xml:space="preserve">       │</w:t>
      </w:r>
    </w:p>
    <w:p>
      <w:pPr>
        <w:spacing w:before="0" w:after="0"/>
        <w:ind w:left="1134"/>
      </w:pPr>
      <w:r>
        <w:rPr>
          <w:rFonts w:ascii="Consolas" w:hAnsi="Consolas"/>
          <w:color w:val="999999"/>
          <w:sz w:val="19"/>
        </w:rPr>
        <w:t xml:space="preserve">       ▼</w:t>
      </w:r>
    </w:p>
    <w:p>
      <w:pPr>
        <w:spacing w:before="20" w:after="20"/>
        <w:ind w:left="1134"/>
      </w:pPr>
      <w:r>
        <w:rPr>
          <w:rFonts w:ascii="Consolas" w:hAnsi="Consolas"/>
          <w:sz w:val="19"/>
        </w:rPr>
        <w:t xml:space="preserve">  Track changes over time (revaluations, impairments)</w:t>
      </w:r>
    </w:p>
    <w:p>
      <w:pPr>
        <w:spacing w:before="0" w:after="0"/>
        <w:ind w:left="1134"/>
      </w:pPr>
      <w:r>
        <w:rPr>
          <w:rFonts w:ascii="Consolas" w:hAnsi="Consolas"/>
          <w:color w:val="999999"/>
          <w:sz w:val="19"/>
        </w:rPr>
        <w:t xml:space="preserve">       │</w:t>
      </w:r>
    </w:p>
    <w:p>
      <w:pPr>
        <w:spacing w:before="0" w:after="0"/>
        <w:ind w:left="1134"/>
      </w:pPr>
      <w:r>
        <w:rPr>
          <w:rFonts w:ascii="Consolas" w:hAnsi="Consolas"/>
          <w:color w:val="999999"/>
          <w:sz w:val="19"/>
        </w:rPr>
        <w:t xml:space="preserve">       ▼</w:t>
      </w:r>
    </w:p>
    <w:p>
      <w:pPr>
        <w:spacing w:before="20" w:after="20"/>
        <w:ind w:left="1134"/>
      </w:pPr>
      <w:r>
        <w:rPr>
          <w:rFonts w:ascii="Consolas" w:hAnsi="Consolas"/>
          <w:sz w:val="19"/>
        </w:rPr>
        <w:t xml:space="preserve">  Generate financial reports for auditors</w:t>
      </w:r>
    </w:p>
    <w:p>
      <w:pPr>
        <w:spacing w:before="80" w:after="80"/>
      </w:pPr>
      <w:r>
        <w:rPr>
          <w:color w:val="CCCCCC"/>
          <w:sz w:val="12"/>
        </w:rPr>
        <w:t>────────────────────────────────────────────────────────────────────────────────</w:t>
      </w:r>
    </w:p>
    <w:p>
      <w:r>
        <w:rPr>
          <w:i/>
          <w:color w:val="999999"/>
          <w:sz w:val="18"/>
        </w:rPr>
        <w:t>This module is part of the Heratio platform by The Archive and Heritage Group.</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56DB"/>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56DB"/>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56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