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Indigenous Cultural &amp; Intellectual Property - How It Works</w:t>
      </w:r>
    </w:p>
    <w:p>
      <w:r>
        <w:rPr>
          <w:i/>
          <w:color w:val="666666"/>
        </w:rPr>
        <w:t>A plain-language guide to understanding ICIP management and Traditional Knowledge labels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ICIP?</w:t>
      </w:r>
    </w:p>
    <w:p>
      <w:r>
        <w:t>ICIP (Indigenous Cultural and Intellectual Property) management helps institutions handle culturally sensitive materials respectfully. It implements Traditional Knowledge (TK) labels and Biocultural (BC) labels from LocalContexts.org — community-driven standards for indigenous heritage.</w:t>
      </w:r>
    </w:p>
    <w:p>
      <w:pPr>
        <w:pStyle w:val="Heading2"/>
      </w:pPr>
      <w:r>
        <w:t>Traditional Knowledge Labels</w:t>
      </w:r>
    </w:p>
    <w:p>
      <w:r>
        <w:t>TK Labels are visual markers placed on records containing indigenous knowledge. They communicate community expectations about how materials should be used, accessed, and shared. Examples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Label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TK Attribution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This material should be attributed to the community of origin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TK Non-Commercial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This material should not be used for commercial purposes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TK Community Voice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The community should be consulted before use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TK Culturally Sensitive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This material contains culturally sensitive content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TK Secret/Sacred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This material is secret or sacred and access should be restricted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