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Multi-Tenancy - How It Works</w:t>
      </w:r>
    </w:p>
    <w:p>
      <w:r>
        <w:rPr>
          <w:i/>
          <w:color w:val="666666"/>
        </w:rPr>
        <w:t>A plain-language guide to understanding repository-based multi-tenancy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Multi-Tenancy?</w:t>
      </w:r>
    </w:p>
    <w:p>
      <w:r>
        <w:t>Multi-tenancy lets one Heratio installation serve multiple independent organisations. Each repository (institution) gets its own branding, users, and data — while sharing the same server and software. Think of it as an apartment building: everyone shares the building, but each flat is private.</w:t>
      </w:r>
    </w:p>
    <w:p>
      <w:pPr>
        <w:pStyle w:val="Heading2"/>
      </w:pPr>
      <w:r>
        <w:t>What Each Tenant 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Own Branding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Custom logo, colours, and banner for their area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Own Users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Staff accounts that only see their repository's data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Own Data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Records are isolated — Tenant A can't see Tenant B's records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Own Settings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Customise features and forms for their specific needs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Shared Platform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Same software, same server, same maintenance — one admin manages all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