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Portable Export - How It Works</w:t>
      </w:r>
    </w:p>
    <w:p>
      <w:r>
        <w:rPr>
          <w:i/>
          <w:color w:val="666666"/>
        </w:rPr>
        <w:t>A plain-language guide to understanding offline catalogue distribution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Portable Export?</w:t>
      </w:r>
    </w:p>
    <w:p>
      <w:r>
        <w:t>Portable Export creates a self-contained, offline copy of your collection that runs without a server. Put it on a USB drive, CD, or ZIP file — open the HTML file in any browser and you have a fully searchable, browseable catalogue. Perfect for areas without internet or for distribution at events.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HTML Viewer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Opens in any web browser, no installation needed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Full-text search across all exported records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Browse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Browse by hierarchy, date, subject, or repository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Images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Thumbnails and preview images included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Metadata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All descriptive fields for each record</w:t>
            </w:r>
          </w:p>
        </w:tc>
      </w:tr>
    </w:tbl>
    <w:p/>
    <w:p>
      <w:pPr>
        <w:pStyle w:val="Heading2"/>
      </w:pPr>
      <w:r>
        <w:t>Export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records to export (collection, repository, or search results)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Choose export options (image quality, include digital objects)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generates the portable package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Download as ZIP file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Distribute on USB, CD, or email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Recipient opens index.html — instant offline catalogue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