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Provenance Tracking - How It Works</w:t>
      </w:r>
    </w:p>
    <w:p>
      <w:r>
        <w:rPr>
          <w:i/>
          <w:color w:val="666666"/>
        </w:rPr>
        <w:t>A plain-language guide to understanding chain of custody and ownership history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Provenance?</w:t>
      </w:r>
    </w:p>
    <w:p>
      <w:r>
        <w:t>Provenance tracks the complete ownership history of an object — who owned it, when, and how it changed hands. This is critical for museums (proving legitimate ownership), galleries (establishing value), and archives (understanding the history of records).</w:t>
      </w:r>
    </w:p>
    <w:p>
      <w:pPr>
        <w:pStyle w:val="Heading2"/>
      </w:pPr>
      <w:r>
        <w:t>Provenance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Previous Owner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Estate of John Smith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Acquisition Method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Purchase at auction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15 March 2019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Source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Christie's London, Lot 42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Documentation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Sale certificate, invoice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Previously in the Rothschild Collection</w:t>
            </w:r>
          </w:p>
        </w:tc>
      </w:tr>
    </w:tbl>
    <w:p/>
    <w:p>
      <w:pPr>
        <w:pStyle w:val="Heading2"/>
      </w:pPr>
      <w:r>
        <w:t>Chain of Custody</w:t>
      </w:r>
    </w:p>
    <w:p>
      <w:r>
        <w:t>Each ownership change is recorded as a link in the chain. The full provenance reads like a timeline: 'Created by the artist (1920) → Private collection (1920-1955) → Museum donation (1955) → Your institution (1955-present)'. Gaps in provenance are flagged for investigation.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