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Translation - How It Works</w:t>
      </w:r>
    </w:p>
    <w:p>
      <w:r>
        <w:rPr>
          <w:i/>
          <w:color w:val="666666"/>
        </w:rPr>
        <w:t>A plain-language guide to understanding machine translation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the Translation Module?</w:t>
      </w:r>
    </w:p>
    <w:p>
      <w:r>
        <w:t>The Translation module automatically translates record descriptions between languages. It runs entirely on your server using Argos Translate — no data is sent to external services. Make your collection accessible in multiple languages without manual translation.</w:t>
      </w:r>
    </w:p>
    <w:p>
      <w:pPr>
        <w:pStyle w:val="Heading2"/>
      </w:pPr>
      <w:r>
        <w:t>How It Works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Select records to translate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Choose source and target languages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Argos Translate processes the text locally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Translated text saved as a new language version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Users can switch languages when viewing records</w:t>
      </w:r>
    </w:p>
    <w:p>
      <w:pPr>
        <w:pStyle w:val="Heading2"/>
      </w:pPr>
      <w:r>
        <w:t>Supported Languages</w:t>
      </w:r>
    </w:p>
    <w:p>
      <w:r>
        <w:t>Argos Translate supports 30+ languages including English, Afrikaans, French, German, Spanish, Portuguese, Arabic, Chinese, Japanese, and many more. New language packs can be installed as needed.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