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Heratio Vendor Management - How It Works</w:t>
      </w:r>
    </w:p>
    <w:p>
      <w:r>
        <w:rPr>
          <w:i/>
          <w:color w:val="666666"/>
        </w:rPr>
        <w:t>A plain-language guide to understanding supplier and vendor tracking in your Heratio platform.</w:t>
      </w:r>
    </w:p>
    <w:p>
      <w:pPr>
        <w:spacing w:before="80" w:after="80"/>
      </w:pPr>
      <w:r>
        <w:rPr>
          <w:color w:val="CCCCCC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What Is Vendor Management?</w:t>
      </w:r>
    </w:p>
    <w:p>
      <w:r>
        <w:t>The Vendor module tracks your institution's suppliers and service providers — conservators, courier companies, framing services, IT providers, and any other third parties your institution works with.</w:t>
      </w:r>
    </w:p>
    <w:p>
      <w:pPr>
        <w:pStyle w:val="Heading2"/>
      </w:pPr>
      <w:r>
        <w:t>What You Track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a56db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Field</w:t>
            </w:r>
          </w:p>
        </w:tc>
        <w:tc>
          <w:tcPr>
            <w:tcW w:type="dxa" w:w="4703"/>
            <w:shd w:val="clear" w:color="auto" w:fill="1a56db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Description</w:t>
            </w:r>
          </w:p>
        </w:tc>
      </w:tr>
      <w:tr>
        <w:tc>
          <w:tcPr>
            <w:tcW w:type="dxa" w:w="4703"/>
          </w:tcPr>
          <w:p>
            <w:r>
              <w:rPr>
                <w:sz w:val="19"/>
              </w:rPr>
              <w:t>Vendor Name</w:t>
            </w:r>
          </w:p>
        </w:tc>
        <w:tc>
          <w:tcPr>
            <w:tcW w:type="dxa" w:w="4703"/>
          </w:tcPr>
          <w:p>
            <w:r>
              <w:rPr>
                <w:sz w:val="19"/>
              </w:rPr>
              <w:t>Company or individual name</w:t>
            </w:r>
          </w:p>
        </w:tc>
      </w:tr>
      <w:tr>
        <w:tc>
          <w:tcPr>
            <w:tcW w:type="dxa" w:w="4703"/>
            <w:shd w:val="clear" w:color="auto" w:fill="f0f4ff"/>
          </w:tcPr>
          <w:p>
            <w:r>
              <w:rPr>
                <w:sz w:val="19"/>
              </w:rPr>
              <w:t>Category</w:t>
            </w:r>
          </w:p>
        </w:tc>
        <w:tc>
          <w:tcPr>
            <w:tcW w:type="dxa" w:w="4703"/>
            <w:shd w:val="clear" w:color="auto" w:fill="f0f4ff"/>
          </w:tcPr>
          <w:p>
            <w:r>
              <w:rPr>
                <w:sz w:val="19"/>
              </w:rPr>
              <w:t>Conservation, courier, supplies, IT, catering, etc.</w:t>
            </w:r>
          </w:p>
        </w:tc>
      </w:tr>
      <w:tr>
        <w:tc>
          <w:tcPr>
            <w:tcW w:type="dxa" w:w="4703"/>
          </w:tcPr>
          <w:p>
            <w:r>
              <w:rPr>
                <w:sz w:val="19"/>
              </w:rPr>
              <w:t>Contact Details</w:t>
            </w:r>
          </w:p>
        </w:tc>
        <w:tc>
          <w:tcPr>
            <w:tcW w:type="dxa" w:w="4703"/>
          </w:tcPr>
          <w:p>
            <w:r>
              <w:rPr>
                <w:sz w:val="19"/>
              </w:rPr>
              <w:t>Phone, email, address, website</w:t>
            </w:r>
          </w:p>
        </w:tc>
      </w:tr>
      <w:tr>
        <w:tc>
          <w:tcPr>
            <w:tcW w:type="dxa" w:w="4703"/>
            <w:shd w:val="clear" w:color="auto" w:fill="f0f4ff"/>
          </w:tcPr>
          <w:p>
            <w:r>
              <w:rPr>
                <w:sz w:val="19"/>
              </w:rPr>
              <w:t>Services</w:t>
            </w:r>
          </w:p>
        </w:tc>
        <w:tc>
          <w:tcPr>
            <w:tcW w:type="dxa" w:w="4703"/>
            <w:shd w:val="clear" w:color="auto" w:fill="f0f4ff"/>
          </w:tcPr>
          <w:p>
            <w:r>
              <w:rPr>
                <w:sz w:val="19"/>
              </w:rPr>
              <w:t>What they provide and at what rates</w:t>
            </w:r>
          </w:p>
        </w:tc>
      </w:tr>
      <w:tr>
        <w:tc>
          <w:tcPr>
            <w:tcW w:type="dxa" w:w="4703"/>
          </w:tcPr>
          <w:p>
            <w:r>
              <w:rPr>
                <w:sz w:val="19"/>
              </w:rPr>
              <w:t>Contract Details</w:t>
            </w:r>
          </w:p>
        </w:tc>
        <w:tc>
          <w:tcPr>
            <w:tcW w:type="dxa" w:w="4703"/>
          </w:tcPr>
          <w:p>
            <w:r>
              <w:rPr>
                <w:sz w:val="19"/>
              </w:rPr>
              <w:t>Agreement terms, expiry dates, renewal reminders</w:t>
            </w:r>
          </w:p>
        </w:tc>
      </w:tr>
      <w:tr>
        <w:tc>
          <w:tcPr>
            <w:tcW w:type="dxa" w:w="4703"/>
            <w:shd w:val="clear" w:color="auto" w:fill="f0f4ff"/>
          </w:tcPr>
          <w:p>
            <w:r>
              <w:rPr>
                <w:sz w:val="19"/>
              </w:rPr>
              <w:t>Performance Notes</w:t>
            </w:r>
          </w:p>
        </w:tc>
        <w:tc>
          <w:tcPr>
            <w:tcW w:type="dxa" w:w="4703"/>
            <w:shd w:val="clear" w:color="auto" w:fill="f0f4ff"/>
          </w:tcPr>
          <w:p>
            <w:r>
              <w:rPr>
                <w:sz w:val="19"/>
              </w:rPr>
              <w:t>Quality, reliability, value for money</w:t>
            </w:r>
          </w:p>
        </w:tc>
      </w:tr>
    </w:tbl>
    <w:p/>
    <w:p>
      <w:pPr>
        <w:spacing w:before="80" w:after="80"/>
      </w:pPr>
      <w:r>
        <w:rPr>
          <w:color w:val="CCCCCC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i/>
          <w:color w:val="999999"/>
          <w:sz w:val="18"/>
        </w:rPr>
        <w:t>This module is part of the Heratio platform by The Archive and Heritage Group.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3333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240"/>
      <w:outlineLvl w:val="0"/>
    </w:pPr>
    <w:rPr>
      <w:rFonts w:asciiTheme="majorHAnsi" w:eastAsiaTheme="majorEastAsia" w:hAnsiTheme="majorHAnsi" w:cstheme="majorBidi" w:ascii="Calibri" w:hAnsi="Calibri"/>
      <w:b/>
      <w:bCs/>
      <w:color w:val="1A56DB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60"/>
      <w:outlineLvl w:val="1"/>
    </w:pPr>
    <w:rPr>
      <w:rFonts w:asciiTheme="majorHAnsi" w:eastAsiaTheme="majorEastAsia" w:hAnsiTheme="majorHAnsi" w:cstheme="majorBidi" w:ascii="Calibri" w:hAnsi="Calibri"/>
      <w:b/>
      <w:bCs/>
      <w:color w:val="1A56DB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1A56DB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