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Zimbabwe Compliance - How It Works</w:t>
      </w:r>
    </w:p>
    <w:p>
      <w:r>
        <w:rPr>
          <w:i/>
          <w:color w:val="666666"/>
        </w:rPr>
        <w:t>A plain-language guide to understanding Zimbabwe-specific regulatory compliance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Are the Zimbabwe Modules?</w:t>
      </w:r>
    </w:p>
    <w:p>
      <w:r>
        <w:t>Heratio includes three modules specifically for Zimbabwean institutions, implementing the country's heritage and data protection legislation.</w:t>
      </w:r>
    </w:p>
    <w:p>
      <w:pPr>
        <w:pStyle w:val="Heading2"/>
      </w:pPr>
      <w:r>
        <w:t>CDPA — Cyber &amp; Data Protection Act</w:t>
      </w:r>
    </w:p>
    <w:p>
      <w:r>
        <w:t>Chapter 12:07 — Zimbabwe's data protection law, administered by POTRAZ. The module helps you track data processing activities, manage consent, handle data subject requests, and generate compliance reports.</w:t>
      </w:r>
    </w:p>
    <w:p>
      <w:pPr>
        <w:pStyle w:val="Heading2"/>
      </w:pPr>
      <w:r>
        <w:t>NAZ — National Archives Act</w:t>
      </w:r>
    </w:p>
    <w:p>
      <w:r>
        <w:t>Chapter 25:06 — Governs public records management. Key features include:</w:t>
      </w:r>
    </w:p>
    <w:p>
      <w:pPr>
        <w:pStyle w:val="ListBullet"/>
      </w:pPr>
      <w:r>
        <w:t>25-year rule tracking (records become open after 25 years)</w:t>
      </w:r>
    </w:p>
    <w:p>
      <w:pPr>
        <w:pStyle w:val="ListBullet"/>
      </w:pPr>
      <w:r>
        <w:t>Closure period management with automatic expiry</w:t>
      </w:r>
    </w:p>
    <w:p>
      <w:pPr>
        <w:pStyle w:val="ListBullet"/>
      </w:pPr>
      <w:r>
        <w:t>Transfer due reminders (when records should move to the National Archives)</w:t>
      </w:r>
    </w:p>
    <w:p>
      <w:pPr>
        <w:pStyle w:val="ListBullet"/>
      </w:pPr>
      <w:r>
        <w:t>Permit tracking for access to restricted records</w:t>
      </w:r>
    </w:p>
    <w:p>
      <w:pPr>
        <w:pStyle w:val="Heading2"/>
      </w:pPr>
      <w:r>
        <w:t>NMMZ — National Museums &amp; Monuments Act</w:t>
      </w:r>
    </w:p>
    <w:p>
      <w:r>
        <w:t>Chapter 25:11 — Governs national museum collections and heritage sites. The module provides compliance reporting for NMMZ regulatory requirements.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