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Export - User &amp; Admin Guide</w:t>
      </w:r>
    </w:p>
    <w:p>
      <w:pPr>
        <w:pStyle w:val="Author"/>
      </w:pPr>
      <w:r>
        <w:t xml:space="preserve">The Archive and Heritage Group (Pty) Ltd</w:t>
      </w:r>
    </w:p>
    <w:bookmarkStart w:id="36" w:name="export-user-admin-guide"/>
    <w:p>
      <w:pPr>
        <w:pStyle w:val="Heading1"/>
      </w:pPr>
      <w:r>
        <w:t xml:space="preserve">Export — User &amp; Admin Guide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ahgExportPlugin v1.0.0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export-formats">
        <w:r>
          <w:rPr>
            <w:rStyle w:val="Hyperlink"/>
          </w:rPr>
          <w:t xml:space="preserve">Export Formats</w:t>
        </w:r>
      </w:hyperlink>
    </w:p>
    <w:p>
      <w:pPr>
        <w:numPr>
          <w:ilvl w:val="0"/>
          <w:numId w:val="1001"/>
        </w:numPr>
        <w:pStyle w:val="Compact"/>
      </w:pPr>
      <w:hyperlink w:anchor="archival-description-export">
        <w:r>
          <w:rPr>
            <w:rStyle w:val="Hyperlink"/>
          </w:rPr>
          <w:t xml:space="preserve">Archival Description Export</w:t>
        </w:r>
      </w:hyperlink>
    </w:p>
    <w:p>
      <w:pPr>
        <w:numPr>
          <w:ilvl w:val="0"/>
          <w:numId w:val="1001"/>
        </w:numPr>
        <w:pStyle w:val="Compact"/>
      </w:pPr>
      <w:hyperlink w:anchor="authority-record-export">
        <w:r>
          <w:rPr>
            <w:rStyle w:val="Hyperlink"/>
          </w:rPr>
          <w:t xml:space="preserve">Authority Record Export</w:t>
        </w:r>
      </w:hyperlink>
    </w:p>
    <w:p>
      <w:pPr>
        <w:numPr>
          <w:ilvl w:val="0"/>
          <w:numId w:val="1001"/>
        </w:numPr>
        <w:pStyle w:val="Compact"/>
      </w:pPr>
      <w:hyperlink w:anchor="repository-export">
        <w:r>
          <w:rPr>
            <w:rStyle w:val="Hyperlink"/>
          </w:rPr>
          <w:t xml:space="preserve">Repository Export</w:t>
        </w:r>
      </w:hyperlink>
    </w:p>
    <w:p>
      <w:pPr>
        <w:numPr>
          <w:ilvl w:val="0"/>
          <w:numId w:val="1001"/>
        </w:numPr>
        <w:pStyle w:val="Compact"/>
      </w:pPr>
      <w:hyperlink w:anchor="accession-csv-export">
        <w:r>
          <w:rPr>
            <w:rStyle w:val="Hyperlink"/>
          </w:rPr>
          <w:t xml:space="preserve">Accession CSV Export</w:t>
        </w:r>
      </w:hyperlink>
    </w:p>
    <w:p>
      <w:pPr>
        <w:numPr>
          <w:ilvl w:val="0"/>
          <w:numId w:val="1001"/>
        </w:numPr>
        <w:pStyle w:val="Compact"/>
      </w:pPr>
      <w:hyperlink w:anchor="admin-ui">
        <w:r>
          <w:rPr>
            <w:rStyle w:val="Hyperlink"/>
          </w:rPr>
          <w:t xml:space="preserve">Admin UI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Export plugin provides multiple export formats for AtoM Heratio data. Records can be exported from the web UI at</w:t>
      </w:r>
      <w:r>
        <w:t xml:space="preserve"> </w:t>
      </w:r>
      <w:r>
        <w:rPr>
          <w:bCs/>
          <w:b/>
        </w:rPr>
        <w:t xml:space="preserve">Admin &gt; 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/export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export-formats"/>
    <w:p>
      <w:pPr>
        <w:pStyle w:val="Heading2"/>
      </w:pPr>
      <w:r>
        <w:t xml:space="preserve">Export Formats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EAD 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Archival Description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Dublin Core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values (ISAD-G columns)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EAC-CPF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Archival Context 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Repository/institution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record CSV (round-trip compatible)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archival-description-export"/>
    <w:p>
      <w:pPr>
        <w:pStyle w:val="Heading2"/>
      </w:pPr>
      <w:r>
        <w:t xml:space="preserve">Archival Description Export</w:t>
      </w:r>
    </w:p>
    <w:bookmarkStart w:id="23" w:name="csv-export"/>
    <w:p>
      <w:pPr>
        <w:pStyle w:val="Heading3"/>
      </w:pPr>
      <w:r>
        <w:t xml:space="preserve">CSV Export</w:t>
      </w:r>
    </w:p>
    <w:p>
      <w:pPr>
        <w:pStyle w:val="FirstParagraph"/>
      </w:pPr>
      <w:r>
        <w:t xml:space="preserve">Exports descriptions with ISAD(G) fields including:</w:t>
      </w:r>
      <w:r>
        <w:t xml:space="preserve"> </w:t>
      </w:r>
      <w:r>
        <w:t xml:space="preserve">- Identity: legacyId, identifier, title, levelOfDescription</w:t>
      </w:r>
      <w:r>
        <w:t xml:space="preserve"> </w:t>
      </w:r>
      <w:r>
        <w:t xml:space="preserve">- Context: archivalHistory, arrangement</w:t>
      </w:r>
      <w:r>
        <w:t xml:space="preserve"> </w:t>
      </w:r>
      <w:r>
        <w:t xml:space="preserve">- Content: scopeAndContent, extentAndMedium</w:t>
      </w:r>
      <w:r>
        <w:t xml:space="preserve"> </w:t>
      </w:r>
      <w:r>
        <w:t xml:space="preserve">- Access: accessConditions, reproductionConditions, findingAids</w:t>
      </w:r>
      <w:r>
        <w:t xml:space="preserve"> </w:t>
      </w:r>
      <w:r>
        <w:t xml:space="preserve">- Allied: locationOfOriginals, locationOfCopies, relatedUnitsOfDescription</w:t>
      </w:r>
      <w:r>
        <w:t xml:space="preserve"> </w:t>
      </w:r>
      <w:r>
        <w:t xml:space="preserve">- Access points: subjects, places, names</w:t>
      </w:r>
      <w:r>
        <w:t xml:space="preserve"> </w:t>
      </w:r>
      <w:r>
        <w:t xml:space="preserve">- Events: dates</w:t>
      </w:r>
    </w:p>
    <w:bookmarkEnd w:id="23"/>
    <w:bookmarkStart w:id="24" w:name="filters"/>
    <w:p>
      <w:pPr>
        <w:pStyle w:val="Heading3"/>
      </w:pPr>
      <w:r>
        <w:t xml:space="preserve">Filters</w:t>
      </w:r>
    </w:p>
    <w:p>
      <w:pPr>
        <w:numPr>
          <w:ilvl w:val="0"/>
          <w:numId w:val="1002"/>
        </w:numPr>
        <w:pStyle w:val="Compact"/>
      </w:pPr>
      <w:r>
        <w:t xml:space="preserve">By repository</w:t>
      </w:r>
    </w:p>
    <w:p>
      <w:pPr>
        <w:numPr>
          <w:ilvl w:val="0"/>
          <w:numId w:val="1002"/>
        </w:numPr>
        <w:pStyle w:val="Compact"/>
      </w:pPr>
      <w:r>
        <w:t xml:space="preserve">By level of description</w:t>
      </w:r>
    </w:p>
    <w:p>
      <w:pPr>
        <w:numPr>
          <w:ilvl w:val="0"/>
          <w:numId w:val="1002"/>
        </w:numPr>
        <w:pStyle w:val="Compact"/>
      </w:pPr>
      <w:r>
        <w:t xml:space="preserve">By parent record (with/without descendants)</w:t>
      </w:r>
    </w:p>
    <w:bookmarkEnd w:id="24"/>
    <w:bookmarkStart w:id="25" w:name="ead-export"/>
    <w:p>
      <w:pPr>
        <w:pStyle w:val="Heading3"/>
      </w:pPr>
      <w:r>
        <w:t xml:space="preserve">EAD Export</w:t>
      </w:r>
    </w:p>
    <w:p>
      <w:pPr>
        <w:pStyle w:val="FirstParagraph"/>
      </w:pPr>
      <w:r>
        <w:t xml:space="preserve">Full EAD 2002 XML export with hierarchical structure preserved.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uthority-record-export"/>
    <w:p>
      <w:pPr>
        <w:pStyle w:val="Heading2"/>
      </w:pPr>
      <w:r>
        <w:t xml:space="preserve">Authority Record Export</w:t>
      </w:r>
    </w:p>
    <w:p>
      <w:pPr>
        <w:pStyle w:val="FirstParagraph"/>
      </w:pPr>
      <w:r>
        <w:t xml:space="preserve">Exports actor records (persons, organizations, families) with:</w:t>
      </w:r>
      <w:r>
        <w:t xml:space="preserve"> </w:t>
      </w:r>
      <w:r>
        <w:t xml:space="preserve">- Authorized form of name</w:t>
      </w:r>
      <w:r>
        <w:t xml:space="preserve"> </w:t>
      </w:r>
      <w:r>
        <w:t xml:space="preserve">- Entity type</w:t>
      </w:r>
      <w:r>
        <w:t xml:space="preserve"> </w:t>
      </w:r>
      <w:r>
        <w:t xml:space="preserve">- Dates of existence</w:t>
      </w:r>
      <w:r>
        <w:t xml:space="preserve"> </w:t>
      </w:r>
      <w:r>
        <w:t xml:space="preserve">- History, places, legal status, functions</w:t>
      </w:r>
    </w:p>
    <w:bookmarkStart w:id="27" w:name="formats"/>
    <w:p>
      <w:pPr>
        <w:pStyle w:val="Heading3"/>
      </w:pPr>
      <w:r>
        <w:t xml:space="preserve">Formats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EAC-CPF</w:t>
      </w:r>
      <w:r>
        <w:t xml:space="preserve"> </w:t>
      </w:r>
      <w:r>
        <w:t xml:space="preserve">— XML standard for authority records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CSV</w:t>
      </w:r>
      <w:r>
        <w:t xml:space="preserve"> </w:t>
      </w:r>
      <w:r>
        <w:t xml:space="preserve">— Flat file export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pository-export"/>
    <w:p>
      <w:pPr>
        <w:pStyle w:val="Heading2"/>
      </w:pPr>
      <w:r>
        <w:t xml:space="preserve">Repository Export</w:t>
      </w:r>
    </w:p>
    <w:p>
      <w:pPr>
        <w:pStyle w:val="FirstParagraph"/>
      </w:pPr>
      <w:r>
        <w:t xml:space="preserve">Exports repository/institution records with:</w:t>
      </w:r>
      <w:r>
        <w:t xml:space="preserve"> </w:t>
      </w:r>
      <w:r>
        <w:t xml:space="preserve">- Authorized name, identifier</w:t>
      </w:r>
      <w:r>
        <w:t xml:space="preserve"> </w:t>
      </w:r>
      <w:r>
        <w:t xml:space="preserve">- Contact information (address, phone, email, website)</w:t>
      </w:r>
      <w:r>
        <w:t xml:space="preserve"> </w:t>
      </w:r>
      <w:r>
        <w:t xml:space="preserve">- Description, access conditions</w:t>
      </w:r>
    </w:p>
    <w:p>
      <w:r>
        <w:pict>
          <v:rect style="width:0;height:1.5pt" o:hralign="center" o:hrstd="t" o:hr="t"/>
        </w:pict>
      </w:r>
    </w:p>
    <w:bookmarkEnd w:id="29"/>
    <w:bookmarkStart w:id="33" w:name="accession-csv-export"/>
    <w:p>
      <w:pPr>
        <w:pStyle w:val="Heading2"/>
      </w:pPr>
      <w:r>
        <w:t xml:space="preserve">Accession CSV Export</w:t>
      </w:r>
    </w:p>
    <w:p>
      <w:pPr>
        <w:pStyle w:val="FirstParagraph"/>
      </w:pPr>
      <w:r>
        <w:t xml:space="preserve">Exports accession records to CSV format that is directly compatible with the ahgIngestPlugin accession import wizard.</w:t>
      </w:r>
    </w:p>
    <w:bookmarkStart w:id="30" w:name="exported-columns"/>
    <w:p>
      <w:pPr>
        <w:pStyle w:val="Heading3"/>
      </w:pPr>
      <w:r>
        <w:t xml:space="preserve">Exported Columns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accessionNumber, title, acquisitionDate, sourceOfAcquisition, locationInformation, receivedExtentUnits, scopeAndContent, appraisal, archivalHistory, processingNotes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acquisitionType, resourceType, processingStatus, processingPriority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donorName, donorStreetAddress, donorCity, donorRegion, donorCountry, donorPostalCode, donorTelephone, donorFax, donorEmail, donorContactPerson, donorNote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accessionEventTypes, accessionEventDates, accessionEventAgents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alternativeIdentifiers, alternativeIdentifierNotes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intakeNotes, intakePriority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</w:t>
            </w:r>
          </w:p>
        </w:tc>
      </w:tr>
    </w:tbl>
    <w:bookmarkEnd w:id="30"/>
    <w:bookmarkStart w:id="31" w:name="filters-1"/>
    <w:p>
      <w:pPr>
        <w:pStyle w:val="Heading3"/>
      </w:pPr>
      <w:r>
        <w:t xml:space="preserve">Filters</w:t>
      </w:r>
    </w:p>
    <w:p>
      <w:pPr>
        <w:numPr>
          <w:ilvl w:val="0"/>
          <w:numId w:val="1004"/>
        </w:numPr>
        <w:pStyle w:val="Compact"/>
      </w:pPr>
      <w:r>
        <w:t xml:space="preserve">By repository</w:t>
      </w:r>
    </w:p>
    <w:p>
      <w:pPr>
        <w:numPr>
          <w:ilvl w:val="0"/>
          <w:numId w:val="1004"/>
        </w:numPr>
        <w:pStyle w:val="Compact"/>
      </w:pPr>
      <w:r>
        <w:t xml:space="preserve">By acquisition date range (from/to)</w:t>
      </w:r>
    </w:p>
    <w:bookmarkEnd w:id="31"/>
    <w:bookmarkStart w:id="32" w:name="round-trip-compatibility"/>
    <w:p>
      <w:pPr>
        <w:pStyle w:val="Heading3"/>
      </w:pPr>
      <w:r>
        <w:t xml:space="preserve">Round-Trip Compatibility</w:t>
      </w:r>
    </w:p>
    <w:p>
      <w:pPr>
        <w:pStyle w:val="FirstParagraph"/>
      </w:pPr>
      <w:r>
        <w:t xml:space="preserve">The exported CSV can be re-imported using: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Ingest Wizard</w:t>
      </w:r>
      <w:r>
        <w:t xml:space="preserve"> </w:t>
      </w:r>
      <w:r>
        <w:t xml:space="preserve">— Admin &gt; Ingest &gt; New &gt; select Accessions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php symfony csv:accession-import filename.csv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dmin-ui"/>
    <w:p>
      <w:pPr>
        <w:pStyle w:val="Heading2"/>
      </w:pPr>
      <w:r>
        <w:t xml:space="preserve">Admin UI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/export</w:t>
      </w:r>
      <w:r>
        <w:t xml:space="preserve">).</w:t>
      </w:r>
    </w:p>
    <w:p>
      <w:pPr>
        <w:pStyle w:val="BodyText"/>
      </w:pPr>
      <w:r>
        <w:t xml:space="preserve">The export dashboard provides cards for each entity type with links to available formats.</w:t>
      </w:r>
    </w:p>
    <w:p>
      <w:r>
        <w:pict>
          <v:rect style="width:0;height:1.5pt" o:hralign="center" o:hrstd="t" o:hr="t"/>
        </w:pict>
      </w:r>
    </w:p>
    <w:bookmarkEnd w:id="34"/>
    <w:bookmarkStart w:id="35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CLI export for large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filter settings; verify records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access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records have linked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 donor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must be linked via relation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- User &amp; Admin Guide</dc:title>
  <dc:creator>The Archive and Heritage Group (Pty) Ltd</dc:creator>
  <cp:keywords/>
  <dcterms:created xsi:type="dcterms:W3CDTF">2026-03-01T12:01:13Z</dcterms:created>
  <dcterms:modified xsi:type="dcterms:W3CDTF">2026-03-01T12:01:13Z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