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- Data Ingest Plugin Feature Overview</w:t>
      </w:r>
    </w:p>
    <w:p>
      <w:pPr>
        <w:pStyle w:val="Author"/>
      </w:pPr>
      <w:r>
        <w:t xml:space="preserve">The Archive and Heritage Group (Pty) Ltd</w:t>
      </w:r>
    </w:p>
    <w:bookmarkStart w:id="32" w:name="atom-heratio-data-ingest-plugin"/>
    <w:p>
      <w:pPr>
        <w:pStyle w:val="Heading1"/>
      </w:pPr>
      <w:r>
        <w:t xml:space="preserve">AtoM Heratio — Data Ingest Plugin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1.1.0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Data Ingest &amp; Import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Data Ingest plugin provides an OAIS-aligned 6-step batch ingestion pipeline for AtoM Heratio. It supports importing archival descriptions across all GLAM sectors (Archives, Museums, Libraries, Galleries, DAM) as well as accession records following NARSSA transfer workflows.</w:t>
      </w:r>
    </w:p>
    <w:p>
      <w:r>
        <w:pict>
          <v:rect style="width:0;height:1.5pt" o:hralign="center" o:hrstd="t" o:hr="t"/>
        </w:pict>
      </w:r>
    </w:p>
    <w:bookmarkEnd w:id="20"/>
    <w:bookmarkStart w:id="27" w:name="key-features"/>
    <w:p>
      <w:pPr>
        <w:pStyle w:val="Heading2"/>
      </w:pPr>
      <w:r>
        <w:t xml:space="preserve">Key Features</w:t>
      </w:r>
    </w:p>
    <w:bookmarkStart w:id="21" w:name="multi-standard-description-import"/>
    <w:p>
      <w:pPr>
        <w:pStyle w:val="Heading3"/>
      </w:pPr>
      <w:r>
        <w:t xml:space="preserve">Multi-Standard Description Import</w:t>
      </w:r>
    </w:p>
    <w:p>
      <w:pPr>
        <w:numPr>
          <w:ilvl w:val="0"/>
          <w:numId w:val="1001"/>
        </w:numPr>
        <w:pStyle w:val="Compact"/>
      </w:pPr>
      <w:r>
        <w:t xml:space="preserve">7 descriptive standards: ISAD(G), RAD, DACS, Dublin Core, MODS, SPECTRUM 5.1, CCO</w:t>
      </w:r>
    </w:p>
    <w:p>
      <w:pPr>
        <w:numPr>
          <w:ilvl w:val="0"/>
          <w:numId w:val="1001"/>
        </w:numPr>
        <w:pStyle w:val="Compact"/>
      </w:pPr>
      <w:r>
        <w:t xml:space="preserve">Auto-detection of CSV encoding and delimiter</w:t>
      </w:r>
    </w:p>
    <w:p>
      <w:pPr>
        <w:numPr>
          <w:ilvl w:val="0"/>
          <w:numId w:val="1001"/>
        </w:numPr>
        <w:pStyle w:val="Compact"/>
      </w:pPr>
      <w:r>
        <w:t xml:space="preserve">Column auto-mapping with intelligent header matching</w:t>
      </w:r>
    </w:p>
    <w:p>
      <w:pPr>
        <w:numPr>
          <w:ilvl w:val="0"/>
          <w:numId w:val="1001"/>
        </w:numPr>
        <w:pStyle w:val="Compact"/>
      </w:pPr>
      <w:r>
        <w:t xml:space="preserve">Saved mapping profiles for repeated imports</w:t>
      </w:r>
    </w:p>
    <w:p>
      <w:pPr>
        <w:numPr>
          <w:ilvl w:val="0"/>
          <w:numId w:val="1001"/>
        </w:numPr>
        <w:pStyle w:val="Compact"/>
      </w:pPr>
      <w:r>
        <w:t xml:space="preserve">Support for CSV, ZIP, EAD, and server directory sources</w:t>
      </w:r>
    </w:p>
    <w:bookmarkEnd w:id="21"/>
    <w:bookmarkStart w:id="22" w:name="accession-csv-ingest"/>
    <w:p>
      <w:pPr>
        <w:pStyle w:val="Heading3"/>
      </w:pPr>
      <w:r>
        <w:t xml:space="preserve">Accession CSV Ingest</w:t>
      </w:r>
    </w:p>
    <w:p>
      <w:pPr>
        <w:numPr>
          <w:ilvl w:val="0"/>
          <w:numId w:val="1002"/>
        </w:numPr>
        <w:pStyle w:val="Compact"/>
      </w:pPr>
      <w:r>
        <w:t xml:space="preserve">Full accession record creation with all standard AtoM fields</w:t>
      </w:r>
    </w:p>
    <w:p>
      <w:pPr>
        <w:numPr>
          <w:ilvl w:val="0"/>
          <w:numId w:val="1002"/>
        </w:numPr>
        <w:pStyle w:val="Compact"/>
      </w:pPr>
      <w:r>
        <w:t xml:space="preserve">Donor information with contact details (auto-creates donor records)</w:t>
      </w:r>
    </w:p>
    <w:p>
      <w:pPr>
        <w:numPr>
          <w:ilvl w:val="0"/>
          <w:numId w:val="1002"/>
        </w:numPr>
        <w:pStyle w:val="Compact"/>
      </w:pPr>
      <w:r>
        <w:t xml:space="preserve">Accession events (multiple per record, pipe-delimited)</w:t>
      </w:r>
    </w:p>
    <w:p>
      <w:pPr>
        <w:numPr>
          <w:ilvl w:val="0"/>
          <w:numId w:val="1002"/>
        </w:numPr>
        <w:pStyle w:val="Compact"/>
      </w:pPr>
      <w:r>
        <w:t xml:space="preserve">Taxonomy-controlled fields (acquisition type, resource type, processing status/priority)</w:t>
      </w:r>
    </w:p>
    <w:p>
      <w:pPr>
        <w:numPr>
          <w:ilvl w:val="0"/>
          <w:numId w:val="1002"/>
        </w:numPr>
        <w:pStyle w:val="Compact"/>
      </w:pPr>
      <w:r>
        <w:t xml:space="preserve">Extended fields from ahgAccessionManagePlugin (intake notes, containers)</w:t>
      </w:r>
    </w:p>
    <w:p>
      <w:pPr>
        <w:numPr>
          <w:ilvl w:val="0"/>
          <w:numId w:val="1002"/>
        </w:numPr>
        <w:pStyle w:val="Compact"/>
      </w:pPr>
      <w:r>
        <w:t xml:space="preserve">Round-trip compatible with Accession CSV Export</w:t>
      </w:r>
    </w:p>
    <w:p>
      <w:pPr>
        <w:numPr>
          <w:ilvl w:val="0"/>
          <w:numId w:val="1002"/>
        </w:numPr>
        <w:pStyle w:val="Compact"/>
      </w:pPr>
      <w:r>
        <w:t xml:space="preserve">NARSSA transfer manifest workflow support</w:t>
      </w:r>
    </w:p>
    <w:bookmarkEnd w:id="22"/>
    <w:bookmarkStart w:id="23" w:name="step-wizard"/>
    <w:p>
      <w:pPr>
        <w:pStyle w:val="Heading3"/>
      </w:pPr>
      <w:r>
        <w:t xml:space="preserve">6-Step Wizard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Configure</w:t>
      </w:r>
      <w:r>
        <w:t xml:space="preserve"> </w:t>
      </w:r>
      <w:r>
        <w:t xml:space="preserve">— Record type, sector, standard, repository, hierarchy, processing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Upload</w:t>
      </w:r>
      <w:r>
        <w:t xml:space="preserve"> </w:t>
      </w:r>
      <w:r>
        <w:t xml:space="preserve">— File upload with auto-detection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 &amp; Enrich</w:t>
      </w:r>
      <w:r>
        <w:t xml:space="preserve"> </w:t>
      </w:r>
      <w:r>
        <w:t xml:space="preserve">— Column mapping, transforms, metadata extraction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Validate</w:t>
      </w:r>
      <w:r>
        <w:t xml:space="preserve"> </w:t>
      </w:r>
      <w:r>
        <w:t xml:space="preserve">— Required fields, duplicates, hierarchy, dates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Preview</w:t>
      </w:r>
      <w:r>
        <w:t xml:space="preserve"> </w:t>
      </w:r>
      <w:r>
        <w:t xml:space="preserve">— Hierarchical tree visualization, row approve/exclude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Commit</w:t>
      </w:r>
      <w:r>
        <w:t xml:space="preserve"> </w:t>
      </w:r>
      <w:r>
        <w:t xml:space="preserve">— Background processing with real-time progress</w:t>
      </w:r>
    </w:p>
    <w:bookmarkEnd w:id="23"/>
    <w:bookmarkStart w:id="24" w:name="ai-processing-pipeline"/>
    <w:p>
      <w:pPr>
        <w:pStyle w:val="Heading3"/>
      </w:pPr>
      <w:r>
        <w:t xml:space="preserve">AI Processing Pipeline</w:t>
      </w:r>
    </w:p>
    <w:p>
      <w:pPr>
        <w:numPr>
          <w:ilvl w:val="0"/>
          <w:numId w:val="1004"/>
        </w:numPr>
        <w:pStyle w:val="Compact"/>
      </w:pPr>
      <w:r>
        <w:t xml:space="preserve">Virus scanning (ClamAV)</w:t>
      </w:r>
    </w:p>
    <w:p>
      <w:pPr>
        <w:numPr>
          <w:ilvl w:val="0"/>
          <w:numId w:val="1004"/>
        </w:numPr>
        <w:pStyle w:val="Compact"/>
      </w:pPr>
      <w:r>
        <w:t xml:space="preserve">OCR text extraction (Tesseract)</w:t>
      </w:r>
    </w:p>
    <w:p>
      <w:pPr>
        <w:numPr>
          <w:ilvl w:val="0"/>
          <w:numId w:val="1004"/>
        </w:numPr>
        <w:pStyle w:val="Compact"/>
      </w:pPr>
      <w:r>
        <w:t xml:space="preserve">Named Entity Recognition (spaCy)</w:t>
      </w:r>
    </w:p>
    <w:p>
      <w:pPr>
        <w:numPr>
          <w:ilvl w:val="0"/>
          <w:numId w:val="1004"/>
        </w:numPr>
        <w:pStyle w:val="Compact"/>
      </w:pPr>
      <w:r>
        <w:t xml:space="preserve">Text summarization</w:t>
      </w:r>
    </w:p>
    <w:p>
      <w:pPr>
        <w:numPr>
          <w:ilvl w:val="0"/>
          <w:numId w:val="1004"/>
        </w:numPr>
        <w:pStyle w:val="Compact"/>
      </w:pPr>
      <w:r>
        <w:t xml:space="preserve">Spell checking (aspell)</w:t>
      </w:r>
    </w:p>
    <w:p>
      <w:pPr>
        <w:numPr>
          <w:ilvl w:val="0"/>
          <w:numId w:val="1004"/>
        </w:numPr>
        <w:pStyle w:val="Compact"/>
      </w:pPr>
      <w:r>
        <w:t xml:space="preserve">Format identification (Siegfried/PRONOM)</w:t>
      </w:r>
    </w:p>
    <w:p>
      <w:pPr>
        <w:numPr>
          <w:ilvl w:val="0"/>
          <w:numId w:val="1004"/>
        </w:numPr>
        <w:pStyle w:val="Compact"/>
      </w:pPr>
      <w:r>
        <w:t xml:space="preserve">Face detection and matching</w:t>
      </w:r>
    </w:p>
    <w:p>
      <w:pPr>
        <w:numPr>
          <w:ilvl w:val="0"/>
          <w:numId w:val="1004"/>
        </w:numPr>
        <w:pStyle w:val="Compact"/>
      </w:pPr>
      <w:r>
        <w:t xml:space="preserve">Machine translation (Argos Translate)</w:t>
      </w:r>
    </w:p>
    <w:bookmarkEnd w:id="24"/>
    <w:bookmarkStart w:id="25" w:name="oais-package-generation"/>
    <w:p>
      <w:pPr>
        <w:pStyle w:val="Heading3"/>
      </w:pPr>
      <w:r>
        <w:t xml:space="preserve">OAIS Package Generation</w:t>
      </w:r>
    </w:p>
    <w:p>
      <w:pPr>
        <w:numPr>
          <w:ilvl w:val="0"/>
          <w:numId w:val="1005"/>
        </w:numPr>
        <w:pStyle w:val="Compact"/>
      </w:pPr>
      <w:r>
        <w:t xml:space="preserve">SIP (Submission Information Package)</w:t>
      </w:r>
    </w:p>
    <w:p>
      <w:pPr>
        <w:numPr>
          <w:ilvl w:val="0"/>
          <w:numId w:val="1005"/>
        </w:numPr>
        <w:pStyle w:val="Compact"/>
      </w:pPr>
      <w:r>
        <w:t xml:space="preserve">AIP (Archival Information Package) with PREMIS metadata</w:t>
      </w:r>
    </w:p>
    <w:p>
      <w:pPr>
        <w:numPr>
          <w:ilvl w:val="0"/>
          <w:numId w:val="1005"/>
        </w:numPr>
        <w:pStyle w:val="Compact"/>
      </w:pPr>
      <w:r>
        <w:t xml:space="preserve">DIP (Dissemination Information Package)</w:t>
      </w:r>
    </w:p>
    <w:bookmarkEnd w:id="25"/>
    <w:bookmarkStart w:id="26" w:name="shared-features"/>
    <w:p>
      <w:pPr>
        <w:pStyle w:val="Heading3"/>
      </w:pPr>
      <w:r>
        <w:t xml:space="preserve">Shared Features</w:t>
      </w:r>
    </w:p>
    <w:p>
      <w:pPr>
        <w:numPr>
          <w:ilvl w:val="0"/>
          <w:numId w:val="1006"/>
        </w:numPr>
        <w:pStyle w:val="Compact"/>
      </w:pPr>
      <w:r>
        <w:t xml:space="preserve">Background job execution with progress tracking</w:t>
      </w:r>
    </w:p>
    <w:p>
      <w:pPr>
        <w:numPr>
          <w:ilvl w:val="0"/>
          <w:numId w:val="1006"/>
        </w:numPr>
        <w:pStyle w:val="Compact"/>
      </w:pPr>
      <w:r>
        <w:t xml:space="preserve">Security classification support</w:t>
      </w:r>
    </w:p>
    <w:p>
      <w:pPr>
        <w:numPr>
          <w:ilvl w:val="0"/>
          <w:numId w:val="1006"/>
        </w:numPr>
        <w:pStyle w:val="Compact"/>
      </w:pPr>
      <w:r>
        <w:t xml:space="preserve">Configurable defaults via AHG Settings</w:t>
      </w:r>
    </w:p>
    <w:p>
      <w:pPr>
        <w:numPr>
          <w:ilvl w:val="0"/>
          <w:numId w:val="1006"/>
        </w:numPr>
        <w:pStyle w:val="Compact"/>
      </w:pPr>
      <w:r>
        <w:t xml:space="preserve">Full audit trail integration</w:t>
      </w:r>
    </w:p>
    <w:p>
      <w:pPr>
        <w:numPr>
          <w:ilvl w:val="0"/>
          <w:numId w:val="1006"/>
        </w:numPr>
        <w:pStyle w:val="Compact"/>
      </w:pPr>
      <w:r>
        <w:t xml:space="preserve">Dashboard with session management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li-commands"/>
    <w:p>
      <w:pPr>
        <w:pStyle w:val="Heading2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Process ingest job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ingest:commit </w:t>
      </w:r>
      <w:r>
        <w:rPr>
          <w:rStyle w:val="AttributeTok"/>
        </w:rPr>
        <w:t xml:space="preserve">--job-id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ingest:commit </w:t>
      </w:r>
      <w:r>
        <w:rPr>
          <w:rStyle w:val="AttributeTok"/>
        </w:rPr>
        <w:t xml:space="preserve">--session-id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456</w:t>
      </w:r>
    </w:p>
    <w:p>
      <w:r>
        <w:pict>
          <v:rect style="width:0;height:1.5pt" o:hralign="center" o:hrstd="t" o:hr="t"/>
        </w:pict>
      </w:r>
    </w:p>
    <w:bookmarkEnd w:id="28"/>
    <w:bookmarkStart w:id="29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7"/>
        </w:numPr>
        <w:pStyle w:val="Compact"/>
      </w:pPr>
      <w:r>
        <w:t xml:space="preserve">AtoM Heratio Framework v2.0+</w:t>
      </w:r>
    </w:p>
    <w:p>
      <w:pPr>
        <w:numPr>
          <w:ilvl w:val="0"/>
          <w:numId w:val="1007"/>
        </w:numPr>
        <w:pStyle w:val="Compact"/>
      </w:pPr>
      <w:r>
        <w:t xml:space="preserve">PHP 8.1+</w:t>
      </w:r>
    </w:p>
    <w:p>
      <w:pPr>
        <w:numPr>
          <w:ilvl w:val="0"/>
          <w:numId w:val="1007"/>
        </w:numPr>
        <w:pStyle w:val="Compact"/>
      </w:pPr>
      <w:r>
        <w:t xml:space="preserve">MySQL 8.0+</w:t>
      </w:r>
    </w:p>
    <w:p>
      <w:pPr>
        <w:numPr>
          <w:ilvl w:val="0"/>
          <w:numId w:val="1007"/>
        </w:numPr>
        <w:pStyle w:val="Compact"/>
      </w:pPr>
      <w:r>
        <w:t xml:space="preserve">ahgCorePlugin (dependency)</w:t>
      </w:r>
    </w:p>
    <w:p>
      <w:pPr>
        <w:numPr>
          <w:ilvl w:val="0"/>
          <w:numId w:val="1007"/>
        </w:numPr>
        <w:pStyle w:val="Compact"/>
      </w:pPr>
      <w:r>
        <w:t xml:space="preserve">ahgAccessionManagePlugin (optional, for extended accession fields)</w:t>
      </w:r>
    </w:p>
    <w:p>
      <w:r>
        <w:pict>
          <v:rect style="width:0;height:1.5pt" o:hralign="center" o:hrstd="t" o:hr="t"/>
        </w:pict>
      </w:r>
    </w:p>
    <w:bookmarkEnd w:id="29"/>
    <w:bookmarkStart w:id="30" w:name="compliance-standards"/>
    <w:p>
      <w:pPr>
        <w:pStyle w:val="Heading2"/>
      </w:pPr>
      <w:r>
        <w:t xml:space="preserve">Compliance &amp; Standards</w:t>
      </w:r>
    </w:p>
    <w:p>
      <w:pPr>
        <w:numPr>
          <w:ilvl w:val="0"/>
          <w:numId w:val="1008"/>
        </w:numPr>
        <w:pStyle w:val="Compact"/>
      </w:pPr>
      <w:r>
        <w:t xml:space="preserve">OAIS-aligned ingestion pipeline</w:t>
      </w:r>
    </w:p>
    <w:p>
      <w:pPr>
        <w:numPr>
          <w:ilvl w:val="0"/>
          <w:numId w:val="1008"/>
        </w:numPr>
        <w:pStyle w:val="Compact"/>
      </w:pPr>
      <w:r>
        <w:t xml:space="preserve">NARSSA transfer workflow support</w:t>
      </w:r>
    </w:p>
    <w:p>
      <w:pPr>
        <w:numPr>
          <w:ilvl w:val="0"/>
          <w:numId w:val="1008"/>
        </w:numPr>
        <w:pStyle w:val="Compact"/>
      </w:pPr>
      <w:r>
        <w:t xml:space="preserve">ISAD(G) / RAD / DACS / Dublin Core / MODS / SPECTRUM 5.1 / CCO standards</w:t>
      </w:r>
    </w:p>
    <w:p>
      <w:pPr>
        <w:numPr>
          <w:ilvl w:val="0"/>
          <w:numId w:val="1008"/>
        </w:numPr>
        <w:pStyle w:val="Compact"/>
      </w:pPr>
      <w:r>
        <w:t xml:space="preserve">SHA-256 checksums for digital object integrity</w:t>
      </w:r>
    </w:p>
    <w:p>
      <w:pPr>
        <w:numPr>
          <w:ilvl w:val="0"/>
          <w:numId w:val="1008"/>
        </w:numPr>
        <w:pStyle w:val="Compact"/>
      </w:pPr>
      <w:r>
        <w:t xml:space="preserve">Full audit trail integration</w:t>
      </w:r>
    </w:p>
    <w:p>
      <w:pPr>
        <w:numPr>
          <w:ilvl w:val="0"/>
          <w:numId w:val="1008"/>
        </w:numPr>
        <w:pStyle w:val="Compact"/>
      </w:pPr>
      <w:r>
        <w:t xml:space="preserve">Compatible with POPIA/NARSSA archival requirements</w:t>
      </w:r>
    </w:p>
    <w:p>
      <w:r>
        <w:pict>
          <v:rect style="width:0;height:1.5pt" o:hralign="center" o:hrstd="t" o:hr="t"/>
        </w:pict>
      </w:r>
    </w:p>
    <w:bookmarkEnd w:id="30"/>
    <w:bookmarkStart w:id="31" w:name="admin-ui"/>
    <w:p>
      <w:pPr>
        <w:pStyle w:val="Heading2"/>
      </w:pPr>
      <w:r>
        <w:t xml:space="preserve">Admin UI</w:t>
      </w:r>
    </w:p>
    <w:p>
      <w:pPr>
        <w:pStyle w:val="FirstParagraph"/>
      </w:pPr>
      <w:r>
        <w:t xml:space="preserve">Access via</w:t>
      </w:r>
      <w:r>
        <w:t xml:space="preserve"> </w:t>
      </w:r>
      <w:r>
        <w:rPr>
          <w:bCs/>
          <w:b/>
        </w:rPr>
        <w:t xml:space="preserve">Admin &gt; Ingest</w:t>
      </w:r>
      <w:r>
        <w:t xml:space="preserve"> </w:t>
      </w:r>
      <w:r>
        <w:t xml:space="preserve">(</w:t>
      </w:r>
      <w:r>
        <w:rPr>
          <w:rStyle w:val="VerbatimChar"/>
        </w:rPr>
        <w:t xml:space="preserve">/ingest</w:t>
      </w:r>
      <w:r>
        <w:t xml:space="preserve">).</w:t>
      </w:r>
    </w:p>
    <w:p>
      <w:pPr>
        <w:pStyle w:val="BodyText"/>
      </w:pPr>
      <w:r>
        <w:t xml:space="preserve">The dashboard shows all ingest sessions with status, progress, and actions (resume, view report, cancel, rollback).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  <w:r>
        <w:t xml:space="preserve"> </w:t>
      </w:r>
      <w:r>
        <w:rPr>
          <w:iCs/>
          <w:i/>
        </w:rPr>
        <w:t xml:space="preserve">https://theahg.co.za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- Data Ingest Plugin Feature Overview</dc:title>
  <dc:creator>The Archive and Heritage Group (Pty) Ltd</dc:creator>
  <cp:keywords/>
  <dcterms:created xsi:type="dcterms:W3CDTF">2026-03-01T12:01:12Z</dcterms:created>
  <dcterms:modified xsi:type="dcterms:W3CDTF">2026-03-01T12:01:12Z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