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Ingest - User &amp; Admin Guide</w:t>
      </w:r>
    </w:p>
    <w:p>
      <w:pPr>
        <w:pStyle w:val="Author"/>
      </w:pPr>
      <w:r>
        <w:t xml:space="preserve">The Archive and Heritage Group (Pty) Ltd</w:t>
      </w:r>
    </w:p>
    <w:bookmarkStart w:id="51" w:name="data-ingest-user-admin-guide"/>
    <w:p>
      <w:pPr>
        <w:pStyle w:val="Heading1"/>
      </w:pPr>
      <w:r>
        <w:t xml:space="preserve">Data Ingest — User &amp; Admin Guide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ahgIngestPlugin v1.1.0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wizard-overview">
        <w:r>
          <w:rPr>
            <w:rStyle w:val="Hyperlink"/>
          </w:rPr>
          <w:t xml:space="preserve">Wizard Overview</w:t>
        </w:r>
      </w:hyperlink>
    </w:p>
    <w:p>
      <w:pPr>
        <w:numPr>
          <w:ilvl w:val="0"/>
          <w:numId w:val="1001"/>
        </w:numPr>
        <w:pStyle w:val="Compact"/>
      </w:pPr>
      <w:hyperlink w:anchor="record-types">
        <w:r>
          <w:rPr>
            <w:rStyle w:val="Hyperlink"/>
          </w:rPr>
          <w:t xml:space="preserve">Record Types</w:t>
        </w:r>
      </w:hyperlink>
    </w:p>
    <w:p>
      <w:pPr>
        <w:numPr>
          <w:ilvl w:val="0"/>
          <w:numId w:val="1001"/>
        </w:numPr>
        <w:pStyle w:val="Compact"/>
      </w:pPr>
      <w:hyperlink w:anchor="step-1-configure">
        <w:r>
          <w:rPr>
            <w:rStyle w:val="Hyperlink"/>
          </w:rPr>
          <w:t xml:space="preserve">Step 1: Configure</w:t>
        </w:r>
      </w:hyperlink>
    </w:p>
    <w:p>
      <w:pPr>
        <w:numPr>
          <w:ilvl w:val="0"/>
          <w:numId w:val="1001"/>
        </w:numPr>
        <w:pStyle w:val="Compact"/>
      </w:pPr>
      <w:hyperlink w:anchor="step-2-upload">
        <w:r>
          <w:rPr>
            <w:rStyle w:val="Hyperlink"/>
          </w:rPr>
          <w:t xml:space="preserve">Step 2: Upload</w:t>
        </w:r>
      </w:hyperlink>
    </w:p>
    <w:p>
      <w:pPr>
        <w:numPr>
          <w:ilvl w:val="0"/>
          <w:numId w:val="1001"/>
        </w:numPr>
        <w:pStyle w:val="Compact"/>
      </w:pPr>
      <w:hyperlink w:anchor="step-3-map--enrich">
        <w:r>
          <w:rPr>
            <w:rStyle w:val="Hyperlink"/>
          </w:rPr>
          <w:t xml:space="preserve">Step 3: Map &amp; Enrich</w:t>
        </w:r>
      </w:hyperlink>
    </w:p>
    <w:p>
      <w:pPr>
        <w:numPr>
          <w:ilvl w:val="0"/>
          <w:numId w:val="1001"/>
        </w:numPr>
        <w:pStyle w:val="Compact"/>
      </w:pPr>
      <w:hyperlink w:anchor="step-4-validate">
        <w:r>
          <w:rPr>
            <w:rStyle w:val="Hyperlink"/>
          </w:rPr>
          <w:t xml:space="preserve">Step 4: Validate</w:t>
        </w:r>
      </w:hyperlink>
    </w:p>
    <w:p>
      <w:pPr>
        <w:numPr>
          <w:ilvl w:val="0"/>
          <w:numId w:val="1001"/>
        </w:numPr>
        <w:pStyle w:val="Compact"/>
      </w:pPr>
      <w:hyperlink w:anchor="step-5-preview">
        <w:r>
          <w:rPr>
            <w:rStyle w:val="Hyperlink"/>
          </w:rPr>
          <w:t xml:space="preserve">Step 5: Preview</w:t>
        </w:r>
      </w:hyperlink>
    </w:p>
    <w:p>
      <w:pPr>
        <w:numPr>
          <w:ilvl w:val="0"/>
          <w:numId w:val="1001"/>
        </w:numPr>
        <w:pStyle w:val="Compact"/>
      </w:pPr>
      <w:hyperlink w:anchor="step-6-commit">
        <w:r>
          <w:rPr>
            <w:rStyle w:val="Hyperlink"/>
          </w:rPr>
          <w:t xml:space="preserve">Step 6: Commit</w:t>
        </w:r>
      </w:hyperlink>
    </w:p>
    <w:p>
      <w:pPr>
        <w:numPr>
          <w:ilvl w:val="0"/>
          <w:numId w:val="1001"/>
        </w:numPr>
        <w:pStyle w:val="Compact"/>
      </w:pPr>
      <w:hyperlink w:anchor="accession-csv-ingest">
        <w:r>
          <w:rPr>
            <w:rStyle w:val="Hyperlink"/>
          </w:rPr>
          <w:t xml:space="preserve">Accession CSV Ingest</w:t>
        </w:r>
      </w:hyperlink>
    </w:p>
    <w:p>
      <w:pPr>
        <w:numPr>
          <w:ilvl w:val="0"/>
          <w:numId w:val="1001"/>
        </w:numPr>
        <w:pStyle w:val="Compact"/>
      </w:pPr>
      <w:hyperlink w:anchor="cli-commands">
        <w:r>
          <w:rPr>
            <w:rStyle w:val="Hyperlink"/>
          </w:rPr>
          <w:t xml:space="preserve">CLI Commands</w:t>
        </w:r>
      </w:hyperlink>
    </w:p>
    <w:p>
      <w:pPr>
        <w:numPr>
          <w:ilvl w:val="0"/>
          <w:numId w:val="1001"/>
        </w:numPr>
        <w:pStyle w:val="Compact"/>
      </w:pPr>
      <w:hyperlink w:anchor="processing-options">
        <w:r>
          <w:rPr>
            <w:rStyle w:val="Hyperlink"/>
          </w:rPr>
          <w:t xml:space="preserve">Processing Options</w:t>
        </w:r>
      </w:hyperlink>
    </w:p>
    <w:p>
      <w:pPr>
        <w:numPr>
          <w:ilvl w:val="0"/>
          <w:numId w:val="1001"/>
        </w:numPr>
        <w:pStyle w:val="Compact"/>
      </w:pPr>
      <w:hyperlink w:anchor="oais-packages">
        <w:r>
          <w:rPr>
            <w:rStyle w:val="Hyperlink"/>
          </w:rPr>
          <w:t xml:space="preserve">OAIS Packages</w:t>
        </w:r>
      </w:hyperlink>
    </w:p>
    <w:p>
      <w:pPr>
        <w:numPr>
          <w:ilvl w:val="0"/>
          <w:numId w:val="1001"/>
        </w:numPr>
        <w:pStyle w:val="Compact"/>
      </w:pPr>
      <w:hyperlink w:anchor="settings">
        <w:r>
          <w:rPr>
            <w:rStyle w:val="Hyperlink"/>
          </w:rPr>
          <w:t xml:space="preserve">Settings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Data Ingest plugin provides an OAIS-aligned 6-step batch ingestion pipeline for AtoM Heratio. It supports importing: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Archival Descriptions</w:t>
      </w:r>
      <w:r>
        <w:t xml:space="preserve"> </w:t>
      </w:r>
      <w:r>
        <w:t xml:space="preserve">— ISAD(G), RAD, DACS, Dublin Core, MODS, SPECTRUM, CCO records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Accessions</w:t>
      </w:r>
      <w:r>
        <w:t xml:space="preserve"> </w:t>
      </w:r>
      <w:r>
        <w:t xml:space="preserve">— Accession records with donors, events, and extended fields</w:t>
      </w:r>
    </w:p>
    <w:p>
      <w:pPr>
        <w:pStyle w:val="FirstParagraph"/>
      </w:pPr>
      <w:r>
        <w:t xml:space="preserve">Data sources include CSV files, ZIP archives with digital objects, EAD XML, and server directories.</w:t>
      </w:r>
    </w:p>
    <w:p>
      <w:r>
        <w:pict>
          <v:rect style="width:0;height:1.5pt" o:hralign="center" o:hrstd="t" o:hr="t"/>
        </w:pict>
      </w:r>
    </w:p>
    <w:bookmarkEnd w:id="21"/>
    <w:bookmarkStart w:id="22" w:name="wizard-overview"/>
    <w:p>
      <w:pPr>
        <w:pStyle w:val="Heading2"/>
      </w:pPr>
      <w:r>
        <w:t xml:space="preserve">Wizard Overview</w:t>
      </w:r>
    </w:p>
    <w:p>
      <w:pPr>
        <w:pStyle w:val="FirstParagraph"/>
      </w:pPr>
      <w:r>
        <w:t xml:space="preserve">The ingest wizard guides users through 6 steps: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type, sector, standard, repository, hierarchy, processing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CSV, ZIP, EAD files or point to server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&amp; Enrich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CSV columns to target fields, apply transforms, match digital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required fields, dates, duplicates, hierarchy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tree of records to be created, approve/exclude individual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import as background job, monitor progress, view completion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record-types"/>
    <w:p>
      <w:pPr>
        <w:pStyle w:val="Heading2"/>
      </w:pPr>
      <w:r>
        <w:t xml:space="preserve">Record Types</w:t>
      </w:r>
    </w:p>
    <w:bookmarkStart w:id="23" w:name="archival-descriptions-default"/>
    <w:p>
      <w:pPr>
        <w:pStyle w:val="Heading3"/>
      </w:pPr>
      <w:r>
        <w:t xml:space="preserve">Archival Descriptions (default)</w:t>
      </w:r>
    </w:p>
    <w:p>
      <w:pPr>
        <w:pStyle w:val="FirstParagraph"/>
      </w:pPr>
      <w:r>
        <w:t xml:space="preserve">Creates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records in AtoM. Supports all GLAM sector descriptive standards.</w:t>
      </w:r>
    </w:p>
    <w:bookmarkEnd w:id="23"/>
    <w:bookmarkStart w:id="24" w:name="accessions"/>
    <w:p>
      <w:pPr>
        <w:pStyle w:val="Heading3"/>
      </w:pPr>
      <w:r>
        <w:t xml:space="preserve">Accessions</w:t>
      </w:r>
    </w:p>
    <w:p>
      <w:pPr>
        <w:pStyle w:val="FirstParagraph"/>
      </w:pPr>
      <w:r>
        <w:t xml:space="preserve">Creates</w:t>
      </w:r>
      <w:r>
        <w:t xml:space="preserve"> </w:t>
      </w:r>
      <w:r>
        <w:rPr>
          <w:rStyle w:val="VerbatimChar"/>
        </w:rPr>
        <w:t xml:space="preserve">accession</w:t>
      </w:r>
      <w:r>
        <w:t xml:space="preserve"> </w:t>
      </w:r>
      <w:r>
        <w:t xml:space="preserve">records in AtoM, including:</w:t>
      </w:r>
      <w:r>
        <w:t xml:space="preserve"> </w:t>
      </w:r>
      <w:r>
        <w:t xml:space="preserve">- Core accession fields (number, title, dates, scope)</w:t>
      </w:r>
      <w:r>
        <w:t xml:space="preserve"> </w:t>
      </w:r>
      <w:r>
        <w:t xml:space="preserve">- Taxonomy-controlled fields (acquisition type, resource type, processing status/priority)</w:t>
      </w:r>
      <w:r>
        <w:t xml:space="preserve"> </w:t>
      </w:r>
      <w:r>
        <w:t xml:space="preserve">- Donor information (name, address, contact details)</w:t>
      </w:r>
      <w:r>
        <w:t xml:space="preserve"> </w:t>
      </w:r>
      <w:r>
        <w:t xml:space="preserve">- Accession events (types, dates, agents)</w:t>
      </w:r>
      <w:r>
        <w:t xml:space="preserve"> </w:t>
      </w:r>
      <w:r>
        <w:t xml:space="preserve">- Alternative identifiers</w:t>
      </w:r>
      <w:r>
        <w:t xml:space="preserve"> </w:t>
      </w:r>
      <w:r>
        <w:t xml:space="preserve">- Extended fields from ahgAccessionManagePlugin (intake notes, containers)</w:t>
      </w:r>
    </w:p>
    <w:p>
      <w:pPr>
        <w:pStyle w:val="BodyText"/>
      </w:pPr>
      <w:r>
        <w:t xml:space="preserve">Select the record type in Step 1 using the</w:t>
      </w:r>
      <w:r>
        <w:t xml:space="preserve"> </w:t>
      </w:r>
      <w:r>
        <w:rPr>
          <w:bCs/>
          <w:b/>
        </w:rPr>
        <w:t xml:space="preserve">Record Type</w:t>
      </w:r>
      <w:r>
        <w:t xml:space="preserve"> </w:t>
      </w:r>
      <w:r>
        <w:t xml:space="preserve">toggle.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step-1-configure"/>
    <w:p>
      <w:pPr>
        <w:pStyle w:val="Heading2"/>
      </w:pPr>
      <w:r>
        <w:t xml:space="preserve">Step 1: Configure</w:t>
      </w:r>
    </w:p>
    <w:bookmarkStart w:id="26" w:name="record-type"/>
    <w:p>
      <w:pPr>
        <w:pStyle w:val="Heading3"/>
      </w:pPr>
      <w:r>
        <w:t xml:space="preserve">Record Type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Archival Descriptions</w:t>
      </w:r>
      <w:r>
        <w:t xml:space="preserve"> </w:t>
      </w:r>
      <w:r>
        <w:t xml:space="preserve">— Standard archival record import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Accessions</w:t>
      </w:r>
      <w:r>
        <w:t xml:space="preserve"> </w:t>
      </w:r>
      <w:r>
        <w:t xml:space="preserve">— Accession record import (sector locked to Archive, hierarchy hidden)</w:t>
      </w:r>
    </w:p>
    <w:bookmarkEnd w:id="26"/>
    <w:bookmarkStart w:id="27" w:name="sector-standard-descriptions-only"/>
    <w:p>
      <w:pPr>
        <w:pStyle w:val="Heading3"/>
      </w:pPr>
      <w:r>
        <w:t xml:space="preserve">Sector &amp; Standard (Descriptions only)</w:t>
      </w:r>
    </w:p>
    <w:p>
      <w:pPr>
        <w:numPr>
          <w:ilvl w:val="0"/>
          <w:numId w:val="1004"/>
        </w:numPr>
        <w:pStyle w:val="Compact"/>
      </w:pPr>
      <w:r>
        <w:t xml:space="preserve">Select the GLAM sector (Archive, Museum, Library, Gallery, DAM)</w:t>
      </w:r>
    </w:p>
    <w:p>
      <w:pPr>
        <w:numPr>
          <w:ilvl w:val="0"/>
          <w:numId w:val="1004"/>
        </w:numPr>
        <w:pStyle w:val="Compact"/>
      </w:pPr>
      <w:r>
        <w:t xml:space="preserve">Choose the descriptive standard — options filter based on sector</w:t>
      </w:r>
    </w:p>
    <w:bookmarkEnd w:id="27"/>
    <w:bookmarkStart w:id="28" w:name="repository"/>
    <w:p>
      <w:pPr>
        <w:pStyle w:val="Heading3"/>
      </w:pPr>
      <w:r>
        <w:t xml:space="preserve">Repository</w:t>
      </w:r>
    </w:p>
    <w:p>
      <w:pPr>
        <w:pStyle w:val="FirstParagraph"/>
      </w:pPr>
      <w:r>
        <w:t xml:space="preserve">Optional. All imported records will be linked to the selected repository.</w:t>
      </w:r>
    </w:p>
    <w:bookmarkEnd w:id="28"/>
    <w:bookmarkStart w:id="29" w:name="hierarchy-placement-descriptions-only"/>
    <w:p>
      <w:pPr>
        <w:pStyle w:val="Heading3"/>
      </w:pPr>
      <w:r>
        <w:t xml:space="preserve">Hierarchy Placement (Descriptions only)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Top-level</w:t>
      </w:r>
      <w:r>
        <w:t xml:space="preserve"> </w:t>
      </w:r>
      <w:r>
        <w:t xml:space="preserve">— Records placed directly under root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Under existing record</w:t>
      </w:r>
      <w:r>
        <w:t xml:space="preserve"> </w:t>
      </w:r>
      <w:r>
        <w:t xml:space="preserve">— Search for and select a parent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Create new parent</w:t>
      </w:r>
      <w:r>
        <w:t xml:space="preserve"> </w:t>
      </w:r>
      <w:r>
        <w:t xml:space="preserve">— Auto-create a fonds/collection as parent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CSV hierarchy</w:t>
      </w:r>
      <w:r>
        <w:t xml:space="preserve"> </w:t>
      </w:r>
      <w:r>
        <w:t xml:space="preserve">— Use legacyId/parentId columns to build hierarchy from CSV data</w:t>
      </w:r>
    </w:p>
    <w:bookmarkEnd w:id="29"/>
    <w:bookmarkStart w:id="30" w:name="output-options"/>
    <w:p>
      <w:pPr>
        <w:pStyle w:val="Heading3"/>
      </w:pPr>
      <w:r>
        <w:t xml:space="preserve">Output Options</w:t>
      </w:r>
    </w:p>
    <w:p>
      <w:pPr>
        <w:numPr>
          <w:ilvl w:val="0"/>
          <w:numId w:val="1006"/>
        </w:numPr>
        <w:pStyle w:val="Compact"/>
      </w:pPr>
      <w:r>
        <w:t xml:space="preserve">Create AtoM records (default: on)</w:t>
      </w:r>
    </w:p>
    <w:p>
      <w:pPr>
        <w:numPr>
          <w:ilvl w:val="0"/>
          <w:numId w:val="1006"/>
        </w:numPr>
        <w:pStyle w:val="Compact"/>
      </w:pPr>
      <w:r>
        <w:t xml:space="preserve">Generate SIP/AIP/DIP packages (OAIS)</w:t>
      </w:r>
    </w:p>
    <w:p>
      <w:pPr>
        <w:numPr>
          <w:ilvl w:val="0"/>
          <w:numId w:val="1006"/>
        </w:numPr>
        <w:pStyle w:val="Compact"/>
      </w:pPr>
      <w:r>
        <w:t xml:space="preserve">Generate thumbnails and reference images</w:t>
      </w:r>
    </w:p>
    <w:bookmarkEnd w:id="30"/>
    <w:bookmarkStart w:id="31" w:name="processing-options"/>
    <w:p>
      <w:pPr>
        <w:pStyle w:val="Heading3"/>
      </w:pPr>
      <w:r>
        <w:t xml:space="preserve">Processing Options</w:t>
      </w:r>
    </w:p>
    <w:p>
      <w:pPr>
        <w:pStyle w:val="FirstParagraph"/>
      </w:pPr>
      <w:r>
        <w:t xml:space="preserve">AI and processing actions to run after commit. See</w:t>
      </w:r>
      <w:r>
        <w:t xml:space="preserve"> </w:t>
      </w:r>
      <w:hyperlink w:anchor="processing-options">
        <w:r>
          <w:rPr>
            <w:rStyle w:val="Hyperlink"/>
          </w:rPr>
          <w:t xml:space="preserve">Processing Options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ep-2-upload"/>
    <w:p>
      <w:pPr>
        <w:pStyle w:val="Heading2"/>
      </w:pPr>
      <w:r>
        <w:t xml:space="preserve">Step 2: Upload</w:t>
      </w:r>
    </w:p>
    <w:p>
      <w:pPr>
        <w:pStyle w:val="FirstParagraph"/>
      </w:pPr>
      <w:r>
        <w:t xml:space="preserve">Upload one of the following: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CSV file</w:t>
      </w:r>
      <w:r>
        <w:t xml:space="preserve"> </w:t>
      </w:r>
      <w:r>
        <w:t xml:space="preserve">— Column headers auto-detected, encoding/delimiter inferred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ZIP archive</w:t>
      </w:r>
      <w:r>
        <w:t xml:space="preserve"> </w:t>
      </w:r>
      <w:r>
        <w:t xml:space="preserve">— Contains CSV + digital object 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EAD XML</w:t>
      </w:r>
      <w:r>
        <w:t xml:space="preserve"> </w:t>
      </w:r>
      <w:r>
        <w:t xml:space="preserve">— Encoded Archival Description file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Server directory</w:t>
      </w:r>
      <w:r>
        <w:t xml:space="preserve"> </w:t>
      </w:r>
      <w:r>
        <w:t xml:space="preserve">— Path to directory of files already on the server</w:t>
      </w:r>
    </w:p>
    <w:p>
      <w:r>
        <w:pict>
          <v:rect style="width:0;height:1.5pt" o:hralign="center" o:hrstd="t" o:hr="t"/>
        </w:pict>
      </w:r>
    </w:p>
    <w:bookmarkEnd w:id="33"/>
    <w:bookmarkStart w:id="37" w:name="step-3-map-enrich"/>
    <w:p>
      <w:pPr>
        <w:pStyle w:val="Heading2"/>
      </w:pPr>
      <w:r>
        <w:t xml:space="preserve">Step 3: Map &amp; Enrich</w:t>
      </w:r>
    </w:p>
    <w:bookmarkStart w:id="34" w:name="csv-import-mode"/>
    <w:p>
      <w:pPr>
        <w:pStyle w:val="Heading3"/>
      </w:pPr>
      <w:r>
        <w:t xml:space="preserve">CSV Import Mode</w:t>
      </w:r>
    </w:p>
    <w:p>
      <w:pPr>
        <w:numPr>
          <w:ilvl w:val="0"/>
          <w:numId w:val="1007"/>
        </w:numPr>
        <w:pStyle w:val="Compact"/>
      </w:pPr>
      <w:r>
        <w:t xml:space="preserve">View auto-mapped column mappings (source header → target field)</w:t>
      </w:r>
    </w:p>
    <w:p>
      <w:pPr>
        <w:numPr>
          <w:ilvl w:val="0"/>
          <w:numId w:val="1007"/>
        </w:numPr>
        <w:pStyle w:val="Compact"/>
      </w:pPr>
      <w:r>
        <w:t xml:space="preserve">Manually adjust mappings via dropdown</w:t>
      </w:r>
    </w:p>
    <w:p>
      <w:pPr>
        <w:numPr>
          <w:ilvl w:val="0"/>
          <w:numId w:val="1007"/>
        </w:numPr>
        <w:pStyle w:val="Compact"/>
      </w:pPr>
      <w:r>
        <w:t xml:space="preserve">Set default values for unmapped columns</w:t>
      </w:r>
    </w:p>
    <w:p>
      <w:pPr>
        <w:numPr>
          <w:ilvl w:val="0"/>
          <w:numId w:val="1007"/>
        </w:numPr>
        <w:pStyle w:val="Compact"/>
      </w:pPr>
      <w:r>
        <w:t xml:space="preserve">Apply transforms: trim, uppercase, lowercase, titlecase, date_iso, strip_html</w:t>
      </w:r>
    </w:p>
    <w:p>
      <w:pPr>
        <w:numPr>
          <w:ilvl w:val="0"/>
          <w:numId w:val="1007"/>
        </w:numPr>
        <w:pStyle w:val="Compact"/>
      </w:pPr>
      <w:r>
        <w:t xml:space="preserve">Select digital object matching strategy (filename, legacyId, title)</w:t>
      </w:r>
    </w:p>
    <w:p>
      <w:pPr>
        <w:numPr>
          <w:ilvl w:val="0"/>
          <w:numId w:val="1007"/>
        </w:numPr>
        <w:pStyle w:val="Compact"/>
      </w:pPr>
      <w:r>
        <w:t xml:space="preserve">Load saved mapping profiles from ahgDataMigrationPlugin</w:t>
      </w:r>
    </w:p>
    <w:bookmarkEnd w:id="34"/>
    <w:bookmarkStart w:id="35" w:name="directory-import-mode"/>
    <w:p>
      <w:pPr>
        <w:pStyle w:val="Heading3"/>
      </w:pPr>
      <w:r>
        <w:t xml:space="preserve">Directory Import Mode</w:t>
      </w:r>
    </w:p>
    <w:p>
      <w:pPr>
        <w:numPr>
          <w:ilvl w:val="0"/>
          <w:numId w:val="1008"/>
        </w:numPr>
        <w:pStyle w:val="Compact"/>
      </w:pPr>
      <w:r>
        <w:t xml:space="preserve">Enter metadata that applies to all files in the directory</w:t>
      </w:r>
    </w:p>
    <w:p>
      <w:pPr>
        <w:numPr>
          <w:ilvl w:val="0"/>
          <w:numId w:val="1008"/>
        </w:numPr>
        <w:pStyle w:val="Compact"/>
      </w:pPr>
      <w:r>
        <w:t xml:space="preserve">Fields organized by descriptive standard groups</w:t>
      </w:r>
    </w:p>
    <w:bookmarkEnd w:id="35"/>
    <w:bookmarkStart w:id="36" w:name="accession-mode"/>
    <w:p>
      <w:pPr>
        <w:pStyle w:val="Heading3"/>
      </w:pPr>
      <w:r>
        <w:t xml:space="preserve">Accession Mode</w:t>
      </w:r>
    </w:p>
    <w:p>
      <w:pPr>
        <w:pStyle w:val="FirstParagraph"/>
      </w:pPr>
      <w:r>
        <w:t xml:space="preserve">When importing accessions, the target field dropdown shows accession-specific fields:</w:t>
      </w:r>
      <w:r>
        <w:t xml:space="preserve"> </w:t>
      </w:r>
      <w:r>
        <w:t xml:space="preserve">- accessionNumber, title, acquisitionDate, sourceOfAcquisition</w:t>
      </w:r>
      <w:r>
        <w:t xml:space="preserve"> </w:t>
      </w:r>
      <w:r>
        <w:t xml:space="preserve">- Taxonomy fields: acquisitionType, resourceType, processingStatus, processingPriority</w:t>
      </w:r>
      <w:r>
        <w:t xml:space="preserve"> </w:t>
      </w:r>
      <w:r>
        <w:t xml:space="preserve">- Donor fields: donorName, donorStreetAddress, donorCity, etc.</w:t>
      </w:r>
      <w:r>
        <w:t xml:space="preserve"> </w:t>
      </w:r>
      <w:r>
        <w:t xml:space="preserve">- Event fields: accessionEventTypes, accessionEventDates (pipe-delimited)</w:t>
      </w:r>
      <w:r>
        <w:t xml:space="preserve"> </w:t>
      </w:r>
      <w:r>
        <w:t xml:space="preserve">- Extended fields: intakeNotes, intakePriority, containerType, containerLabel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tep-4-validate"/>
    <w:p>
      <w:pPr>
        <w:pStyle w:val="Heading2"/>
      </w:pPr>
      <w:r>
        <w:t xml:space="preserve">Step 4: Validate</w:t>
      </w:r>
    </w:p>
    <w:p>
      <w:pPr>
        <w:pStyle w:val="FirstParagraph"/>
      </w:pPr>
      <w:r>
        <w:t xml:space="preserve">Validation runs automatically and reports: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Errors</w:t>
      </w:r>
      <w:r>
        <w:t xml:space="preserve"> </w:t>
      </w:r>
      <w:r>
        <w:t xml:space="preserve">— Duplicate legacyIds, missing parent references (blocks commit)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Warnings</w:t>
      </w:r>
      <w:r>
        <w:t xml:space="preserve"> </w:t>
      </w:r>
      <w:r>
        <w:t xml:space="preserve">— Empty required fields, unrecognized levels/dates, unmatched digital objects</w:t>
      </w:r>
    </w:p>
    <w:bookmarkStart w:id="38" w:name="accession-validation"/>
    <w:p>
      <w:pPr>
        <w:pStyle w:val="Heading3"/>
      </w:pPr>
      <w:r>
        <w:t xml:space="preserve">Accession Validation</w:t>
      </w:r>
    </w:p>
    <w:p>
      <w:pPr>
        <w:numPr>
          <w:ilvl w:val="0"/>
          <w:numId w:val="1009"/>
        </w:numPr>
        <w:pStyle w:val="Compact"/>
      </w:pPr>
      <w:r>
        <w:t xml:space="preserve">Duplicate accession numbers within batch (error)</w:t>
      </w:r>
    </w:p>
    <w:p>
      <w:pPr>
        <w:numPr>
          <w:ilvl w:val="0"/>
          <w:numId w:val="1009"/>
        </w:numPr>
        <w:pStyle w:val="Compact"/>
      </w:pPr>
      <w:r>
        <w:t xml:space="preserve">Accession number already exists in system (warning)</w:t>
      </w:r>
    </w:p>
    <w:p>
      <w:pPr>
        <w:numPr>
          <w:ilvl w:val="0"/>
          <w:numId w:val="1009"/>
        </w:numPr>
        <w:pStyle w:val="Compact"/>
      </w:pPr>
      <w:r>
        <w:t xml:space="preserve">Acquisition date format check</w:t>
      </w:r>
    </w:p>
    <w:p>
      <w:pPr>
        <w:numPr>
          <w:ilvl w:val="0"/>
          <w:numId w:val="1009"/>
        </w:numPr>
        <w:pStyle w:val="Compact"/>
      </w:pPr>
      <w:r>
        <w:t xml:space="preserve">Taxonomy term existence check (missing terms created automatically)</w:t>
      </w:r>
    </w:p>
    <w:p>
      <w:pPr>
        <w:numPr>
          <w:ilvl w:val="0"/>
          <w:numId w:val="1009"/>
        </w:numPr>
        <w:pStyle w:val="Compact"/>
      </w:pPr>
      <w:r>
        <w:t xml:space="preserve">Event type/date count mismatch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tep-5-preview"/>
    <w:p>
      <w:pPr>
        <w:pStyle w:val="Heading2"/>
      </w:pPr>
      <w:r>
        <w:t xml:space="preserve">Step 5: Preview</w:t>
      </w:r>
    </w:p>
    <w:p>
      <w:pPr>
        <w:pStyle w:val="FirstParagraph"/>
      </w:pPr>
      <w:r>
        <w:t xml:space="preserve">Visual tree showing all records to be created:</w:t>
      </w:r>
      <w:r>
        <w:t xml:space="preserve"> </w:t>
      </w:r>
      <w:r>
        <w:t xml:space="preserve">- Expand/collapse hierarchy</w:t>
      </w:r>
      <w:r>
        <w:t xml:space="preserve"> </w:t>
      </w:r>
      <w:r>
        <w:t xml:space="preserve">- View row details (title, level, legacy ID, digital object)</w:t>
      </w:r>
      <w:r>
        <w:t xml:space="preserve"> </w:t>
      </w:r>
      <w:r>
        <w:t xml:space="preserve">- Exclude individual rows from import</w:t>
      </w:r>
    </w:p>
    <w:p>
      <w:r>
        <w:pict>
          <v:rect style="width:0;height:1.5pt" o:hralign="center" o:hrstd="t" o:hr="t"/>
        </w:pict>
      </w:r>
    </w:p>
    <w:bookmarkEnd w:id="40"/>
    <w:bookmarkStart w:id="41" w:name="step-6-commit"/>
    <w:p>
      <w:pPr>
        <w:pStyle w:val="Heading2"/>
      </w:pPr>
      <w:r>
        <w:t xml:space="preserve">Step 6: Commit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Start Import</w:t>
      </w:r>
      <w:r>
        <w:t xml:space="preserve"> </w:t>
      </w:r>
      <w:r>
        <w:t xml:space="preserve">to launch background job</w:t>
      </w:r>
    </w:p>
    <w:p>
      <w:pPr>
        <w:numPr>
          <w:ilvl w:val="0"/>
          <w:numId w:val="1010"/>
        </w:numPr>
        <w:pStyle w:val="Compact"/>
      </w:pPr>
      <w:r>
        <w:t xml:space="preserve">Progress bar updates every 2 seconds via AJAX polling</w:t>
      </w:r>
    </w:p>
    <w:p>
      <w:pPr>
        <w:numPr>
          <w:ilvl w:val="0"/>
          <w:numId w:val="1010"/>
        </w:numPr>
        <w:pStyle w:val="Compact"/>
      </w:pPr>
      <w:r>
        <w:t xml:space="preserve">Completion report shows: records created, digital objects imported, errors</w:t>
      </w:r>
    </w:p>
    <w:p>
      <w:pPr>
        <w:pStyle w:val="FirstParagraph"/>
      </w:pPr>
      <w:r>
        <w:t xml:space="preserve">The job runs as:</w:t>
      </w:r>
      <w:r>
        <w:t xml:space="preserve"> </w:t>
      </w:r>
      <w:r>
        <w:rPr>
          <w:rStyle w:val="VerbatimChar"/>
        </w:rPr>
        <w:t xml:space="preserve">php symfony ingest:commit --job-id=&lt;id&gt;</w:t>
      </w:r>
    </w:p>
    <w:p>
      <w:r>
        <w:pict>
          <v:rect style="width:0;height:1.5pt" o:hralign="center" o:hrstd="t" o:hr="t"/>
        </w:pict>
      </w:r>
    </w:p>
    <w:bookmarkEnd w:id="41"/>
    <w:bookmarkStart w:id="45" w:name="accession-csv-ingest"/>
    <w:p>
      <w:pPr>
        <w:pStyle w:val="Heading2"/>
      </w:pPr>
      <w:r>
        <w:t xml:space="preserve">Accession CSV Ingest</w:t>
      </w:r>
    </w:p>
    <w:bookmarkStart w:id="42" w:name="csv-format"/>
    <w:p>
      <w:pPr>
        <w:pStyle w:val="Heading3"/>
      </w:pPr>
      <w:r>
        <w:t xml:space="preserve">CSV Format</w:t>
      </w:r>
    </w:p>
    <w:p>
      <w:pPr>
        <w:pStyle w:val="FirstParagraph"/>
      </w:pPr>
      <w:r>
        <w:t xml:space="preserve">The accession CSV follows base AtoM’s</w:t>
      </w:r>
      <w:r>
        <w:t xml:space="preserve"> </w:t>
      </w:r>
      <w:r>
        <w:rPr>
          <w:rStyle w:val="VerbatimChar"/>
        </w:rPr>
        <w:t xml:space="preserve">csv:accession-import</w:t>
      </w:r>
      <w:r>
        <w:t xml:space="preserve"> </w:t>
      </w:r>
      <w:r>
        <w:t xml:space="preserve">format with extensions: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accession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acquired (YYYY-MM-DD)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sourceOfAcquisition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Source/provenance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receivedExtentUnits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Quantity/extent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scopeAndContent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Custodial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term (e.g., Donation, Purchase)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Creates/links donor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donorStreetAddress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region/province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donorPostalCode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postal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donorTelephone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donorContactPerson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contact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accessionEventTypes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Pipe-delimited event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accessionEventDates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Pipe-delimited event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accessionEventAgents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Pipe-delimited event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Extended: intake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Extended: High/Medium/Low/Urgent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Extended: container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Extended: container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Extended: barcode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Extended: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code (default: en)</w:t>
            </w:r>
          </w:p>
        </w:tc>
      </w:tr>
    </w:tbl>
    <w:bookmarkEnd w:id="42"/>
    <w:bookmarkStart w:id="43" w:name="narssa-workflow"/>
    <w:p>
      <w:pPr>
        <w:pStyle w:val="Heading3"/>
      </w:pPr>
      <w:r>
        <w:t xml:space="preserve">NARSSA Workflow</w:t>
      </w:r>
    </w:p>
    <w:p>
      <w:pPr>
        <w:pStyle w:val="FirstParagraph"/>
      </w:pPr>
      <w:r>
        <w:t xml:space="preserve">The accession ingest supports the NARSSA transfer workflow:</w:t>
      </w:r>
      <w:r>
        <w:t xml:space="preserve"> </w:t>
      </w:r>
      <w:r>
        <w:t xml:space="preserve">1. Department creates transfer manifest (CSV)</w:t>
      </w:r>
      <w:r>
        <w:t xml:space="preserve"> </w:t>
      </w:r>
      <w:r>
        <w:t xml:space="preserve">2. Review and approve items for transfer</w:t>
      </w:r>
      <w:r>
        <w:t xml:space="preserve"> </w:t>
      </w:r>
      <w:r>
        <w:t xml:space="preserve">3. Import approved items as accessions via the ingest wizard</w:t>
      </w:r>
      <w:r>
        <w:t xml:space="preserve"> </w:t>
      </w:r>
      <w:r>
        <w:t xml:space="preserve">4. Process intake: condition checks, measurements</w:t>
      </w:r>
      <w:r>
        <w:t xml:space="preserve"> </w:t>
      </w:r>
      <w:r>
        <w:t xml:space="preserve">5. Apply workflows and generate reports</w:t>
      </w:r>
    </w:p>
    <w:bookmarkEnd w:id="43"/>
    <w:bookmarkStart w:id="44" w:name="round-trip-compatibility"/>
    <w:p>
      <w:pPr>
        <w:pStyle w:val="Heading3"/>
      </w:pPr>
      <w:r>
        <w:t xml:space="preserve">Round-Trip Compatibility</w:t>
      </w:r>
    </w:p>
    <w:p>
      <w:pPr>
        <w:pStyle w:val="FirstParagraph"/>
      </w:pPr>
      <w:r>
        <w:t xml:space="preserve">Accessions can be exported from</w:t>
      </w:r>
      <w:r>
        <w:t xml:space="preserve"> </w:t>
      </w:r>
      <w:r>
        <w:rPr>
          <w:bCs/>
          <w:b/>
        </w:rPr>
        <w:t xml:space="preserve">Admin &gt; Export &gt; Accession CSV</w:t>
      </w:r>
      <w:r>
        <w:t xml:space="preserve"> </w:t>
      </w:r>
      <w:r>
        <w:t xml:space="preserve">in the same format, enabling full round-trip import/export.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li-commands"/>
    <w:p>
      <w:pPr>
        <w:pStyle w:val="Heading2"/>
      </w:pPr>
      <w:r>
        <w:t xml:space="preserve">CLI Commands</w:t>
      </w:r>
    </w:p>
    <w:p>
      <w:pPr>
        <w:pStyle w:val="SourceCode"/>
      </w:pPr>
      <w:r>
        <w:rPr>
          <w:rStyle w:val="CommentTok"/>
        </w:rPr>
        <w:t xml:space="preserve"># Process a specific ingest job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ingest:commit </w:t>
      </w:r>
      <w:r>
        <w:rPr>
          <w:rStyle w:val="AttributeTok"/>
        </w:rPr>
        <w:t xml:space="preserve">--job-id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Create and process a job for a session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ingest:commit </w:t>
      </w:r>
      <w:r>
        <w:rPr>
          <w:rStyle w:val="AttributeTok"/>
        </w:rPr>
        <w:t xml:space="preserve">--session-id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456</w:t>
      </w:r>
    </w:p>
    <w:p>
      <w:r>
        <w:pict>
          <v:rect style="width:0;height:1.5pt" o:hralign="center" o:hrstd="t" o:hr="t"/>
        </w:pict>
      </w:r>
    </w:p>
    <w:bookmarkEnd w:id="46"/>
    <w:bookmarkStart w:id="47" w:name="processing-options-1"/>
    <w:p>
      <w:pPr>
        <w:pStyle w:val="Heading2"/>
      </w:pPr>
      <w:r>
        <w:t xml:space="preserve">Processing 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Virus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uploaded files for malware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text from images/PDFs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Python/spaCy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named entities (persons, places, organizations)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content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spelling and grammar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Siegfried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file formats via PRONOM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OpenCV/AWS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faces and match to authority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Argos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machine translation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oais-packages"/>
    <w:p>
      <w:pPr>
        <w:pStyle w:val="Heading2"/>
      </w:pPr>
      <w:r>
        <w:t xml:space="preserve">OAIS Packages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Information Package — JSON manifest + checksums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Information Package — Structured directory with PREMIS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Dissemination Information Package — Access URLs and slugs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settings"/>
    <w:p>
      <w:pPr>
        <w:pStyle w:val="Heading2"/>
      </w:pPr>
      <w:r>
        <w:t xml:space="preserve">Settings</w:t>
      </w:r>
    </w:p>
    <w:p>
      <w:pPr>
        <w:pStyle w:val="FirstParagraph"/>
      </w:pPr>
      <w:r>
        <w:t xml:space="preserve">Configure defaults at</w:t>
      </w:r>
      <w:r>
        <w:t xml:space="preserve"> </w:t>
      </w:r>
      <w:r>
        <w:rPr>
          <w:bCs/>
          <w:b/>
        </w:rPr>
        <w:t xml:space="preserve">Admin &gt; AHG Settings &gt; Data Ingest Defaults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GLAM sector for new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descriptive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Virus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target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AtoM records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SIP/AIP/DIP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OAIS packages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thumbnails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reference images by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stuck at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PHP error log; ensure background process can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Permission denied</w:t>
            </w:r>
            <w:r>
              <w:t xml:space="preserve">”</w:t>
            </w:r>
            <w:r>
              <w:t xml:space="preserve"> </w:t>
            </w:r>
            <w:r>
              <w:t xml:space="preserve">on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PHP upload_max_filesize and post_max_size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encoding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CSV is UTF-8; use the encoding auto-detection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accession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existing accessions; use unique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 term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are created automatically if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objects not 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filenames match; check matching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runs in background; check with</w:t>
            </w:r>
            <w:r>
              <w:t xml:space="preserve"> </w:t>
            </w:r>
            <w:r>
              <w:rPr>
                <w:rStyle w:val="VerbatimChar"/>
              </w:rPr>
              <w:t xml:space="preserve">ps aux | grep ingest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Ingest - User &amp; Admin Guide</dc:title>
  <dc:creator>The Archive and Heritage Group (Pty) Ltd</dc:creator>
  <cp:keywords/>
  <dcterms:created xsi:type="dcterms:W3CDTF">2026-03-01T12:01:10Z</dcterms:created>
  <dcterms:modified xsi:type="dcterms:W3CDTF">2026-03-01T12:01:10Z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