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AtoM Heratio - Portable Export Feature Overview</w:t>
      </w:r>
    </w:p>
    <w:p>
      <w:pPr>
        <w:pStyle w:val="Author"/>
      </w:pPr>
      <w:r>
        <w:t xml:space="preserve">The Archive and Heritage Group (Pty) Ltd</w:t>
      </w:r>
    </w:p>
    <w:bookmarkStart w:id="30" w:name="atom-heratio-portable-export-plugin"/>
    <w:p>
      <w:pPr>
        <w:pStyle w:val="Heading1"/>
      </w:pPr>
      <w:r>
        <w:t xml:space="preserve">AtoM Heratio — Portable Export Plugin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2.0.0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The Archive and Heritage Group (Pty) Ltd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Export &amp; Portability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Portable Export plugin provides two distinct export modes for AtoM Heratio: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Viewer Export</w:t>
      </w:r>
      <w:r>
        <w:t xml:space="preserve"> </w:t>
      </w:r>
      <w:r>
        <w:t xml:space="preserve">— A self-contained HTML/JS catalogue viewer for offline access on CD, USB, or downloadable ZIP. Opens in any modern browser with no server or internet required.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Archive Export</w:t>
      </w:r>
      <w:r>
        <w:t xml:space="preserve"> </w:t>
      </w:r>
      <w:r>
        <w:t xml:space="preserve">— A structured, re-importable JSON package with SHA-256 checksums for full system portability. Covers all entity types (descriptions, authorities, taxonomies, rights, accessions, physical objects, events, notes, relations, repositories) with a verifiable manifest.</w:t>
      </w:r>
    </w:p>
    <w:p>
      <w:r>
        <w:pict>
          <v:rect style="width:0;height:1.5pt" o:hralign="center" o:hrstd="t" o:hr="t"/>
        </w:pict>
      </w:r>
    </w:p>
    <w:bookmarkEnd w:id="20"/>
    <w:bookmarkStart w:id="24" w:name="key-features"/>
    <w:p>
      <w:pPr>
        <w:pStyle w:val="Heading2"/>
      </w:pPr>
      <w:r>
        <w:t xml:space="preserve">Key Features</w:t>
      </w:r>
    </w:p>
    <w:bookmarkStart w:id="21" w:name="viewer-export-mode"/>
    <w:p>
      <w:pPr>
        <w:pStyle w:val="Heading3"/>
      </w:pPr>
      <w:r>
        <w:t xml:space="preserve">Viewer Export Mode</w:t>
      </w:r>
    </w:p>
    <w:p>
      <w:pPr>
        <w:numPr>
          <w:ilvl w:val="0"/>
          <w:numId w:val="1002"/>
        </w:numPr>
        <w:pStyle w:val="Compact"/>
      </w:pPr>
      <w:r>
        <w:t xml:space="preserve">Self-contained HTML/JS viewer — zero server dependencies</w:t>
      </w:r>
    </w:p>
    <w:p>
      <w:pPr>
        <w:numPr>
          <w:ilvl w:val="0"/>
          <w:numId w:val="1002"/>
        </w:numPr>
        <w:pStyle w:val="Compact"/>
      </w:pPr>
      <w:r>
        <w:t xml:space="preserve">Client-side search powered by FlexSearch</w:t>
      </w:r>
    </w:p>
    <w:p>
      <w:pPr>
        <w:numPr>
          <w:ilvl w:val="0"/>
          <w:numId w:val="1002"/>
        </w:numPr>
        <w:pStyle w:val="Compact"/>
      </w:pPr>
      <w:r>
        <w:t xml:space="preserve">Hierarchical tree navigation (MPTT-ordered)</w:t>
      </w:r>
    </w:p>
    <w:p>
      <w:pPr>
        <w:numPr>
          <w:ilvl w:val="0"/>
          <w:numId w:val="1002"/>
        </w:numPr>
        <w:pStyle w:val="Compact"/>
      </w:pPr>
      <w:r>
        <w:t xml:space="preserve">Digital object inline viewing (images, PDFs)</w:t>
      </w:r>
    </w:p>
    <w:p>
      <w:pPr>
        <w:numPr>
          <w:ilvl w:val="0"/>
          <w:numId w:val="1002"/>
        </w:numPr>
        <w:pStyle w:val="Compact"/>
      </w:pPr>
      <w:r>
        <w:t xml:space="preserve">Editable mode for researcher notes and file import</w:t>
      </w:r>
    </w:p>
    <w:p>
      <w:pPr>
        <w:numPr>
          <w:ilvl w:val="0"/>
          <w:numId w:val="1002"/>
        </w:numPr>
        <w:pStyle w:val="Compact"/>
      </w:pPr>
      <w:r>
        <w:t xml:space="preserve">Configurable branding (title, subtitle, footer)</w:t>
      </w:r>
    </w:p>
    <w:bookmarkEnd w:id="21"/>
    <w:bookmarkStart w:id="22" w:name="archive-export-mode-v2.0"/>
    <w:p>
      <w:pPr>
        <w:pStyle w:val="Heading3"/>
      </w:pPr>
      <w:r>
        <w:t xml:space="preserve">Archive Export Mode (v2.0)</w:t>
      </w:r>
    </w:p>
    <w:p>
      <w:pPr>
        <w:numPr>
          <w:ilvl w:val="0"/>
          <w:numId w:val="1003"/>
        </w:numPr>
        <w:pStyle w:val="Compact"/>
      </w:pPr>
      <w:r>
        <w:t xml:space="preserve">Re-importable JSON format for full system portability</w:t>
      </w:r>
    </w:p>
    <w:p>
      <w:pPr>
        <w:numPr>
          <w:ilvl w:val="0"/>
          <w:numId w:val="1003"/>
        </w:numPr>
        <w:pStyle w:val="Compact"/>
      </w:pPr>
      <w:r>
        <w:t xml:space="preserve">11 entity types: descriptions, authorities, taxonomies, rights, accessions, physical objects, events, notes, relations, digital object metadata, repositories</w:t>
      </w:r>
    </w:p>
    <w:p>
      <w:pPr>
        <w:numPr>
          <w:ilvl w:val="0"/>
          <w:numId w:val="1003"/>
        </w:numPr>
        <w:pStyle w:val="Compact"/>
      </w:pPr>
      <w:r>
        <w:t xml:space="preserve">SHA-256 checksums on all exported files</w:t>
      </w:r>
    </w:p>
    <w:p>
      <w:pPr>
        <w:numPr>
          <w:ilvl w:val="0"/>
          <w:numId w:val="1003"/>
        </w:numPr>
        <w:pStyle w:val="Compact"/>
      </w:pPr>
      <w:r>
        <w:t xml:space="preserve">Manifest with entity counts, source metadata, and file inventory</w:t>
      </w:r>
    </w:p>
    <w:p>
      <w:pPr>
        <w:numPr>
          <w:ilvl w:val="0"/>
          <w:numId w:val="1003"/>
        </w:numPr>
        <w:pStyle w:val="Compact"/>
      </w:pPr>
      <w:r>
        <w:t xml:space="preserve">Dry-run estimate before export (record counts, estimated size, duration)</w:t>
      </w:r>
    </w:p>
    <w:p>
      <w:pPr>
        <w:numPr>
          <w:ilvl w:val="0"/>
          <w:numId w:val="1003"/>
        </w:numPr>
        <w:pStyle w:val="Compact"/>
      </w:pPr>
      <w:r>
        <w:t xml:space="preserve">Export verification CLI command</w:t>
      </w:r>
    </w:p>
    <w:p>
      <w:pPr>
        <w:numPr>
          <w:ilvl w:val="0"/>
          <w:numId w:val="1003"/>
        </w:numPr>
        <w:pStyle w:val="Compact"/>
      </w:pPr>
      <w:r>
        <w:t xml:space="preserve">All i18n cultures preserved per entity</w:t>
      </w:r>
    </w:p>
    <w:bookmarkEnd w:id="22"/>
    <w:bookmarkStart w:id="23" w:name="shared-features"/>
    <w:p>
      <w:pPr>
        <w:pStyle w:val="Heading3"/>
      </w:pPr>
      <w:r>
        <w:t xml:space="preserve">Shared Features</w:t>
      </w:r>
    </w:p>
    <w:p>
      <w:pPr>
        <w:numPr>
          <w:ilvl w:val="0"/>
          <w:numId w:val="1004"/>
        </w:numPr>
        <w:pStyle w:val="Compact"/>
      </w:pPr>
      <w:r>
        <w:t xml:space="preserve">Export scopes: entire catalogue, specific fonds, by repository, custom (clipboard)</w:t>
      </w:r>
    </w:p>
    <w:p>
      <w:pPr>
        <w:numPr>
          <w:ilvl w:val="0"/>
          <w:numId w:val="1004"/>
        </w:numPr>
        <w:pStyle w:val="Compact"/>
      </w:pPr>
      <w:r>
        <w:t xml:space="preserve">Background processing with progress tracking (via QueueService or nohup fallback)</w:t>
      </w:r>
    </w:p>
    <w:p>
      <w:pPr>
        <w:numPr>
          <w:ilvl w:val="0"/>
          <w:numId w:val="1004"/>
        </w:numPr>
        <w:pStyle w:val="Compact"/>
      </w:pPr>
      <w:r>
        <w:t xml:space="preserve">Admin UI with 4-step wizard</w:t>
      </w:r>
    </w:p>
    <w:p>
      <w:pPr>
        <w:numPr>
          <w:ilvl w:val="0"/>
          <w:numId w:val="1004"/>
        </w:numPr>
        <w:pStyle w:val="Compact"/>
      </w:pPr>
      <w:r>
        <w:t xml:space="preserve">Secure download tokens for sharing (time-limited, download-limited)</w:t>
      </w:r>
    </w:p>
    <w:p>
      <w:pPr>
        <w:numPr>
          <w:ilvl w:val="0"/>
          <w:numId w:val="1004"/>
        </w:numPr>
        <w:pStyle w:val="Compact"/>
      </w:pPr>
      <w:r>
        <w:t xml:space="preserve">CLI commands for automation</w:t>
      </w:r>
    </w:p>
    <w:p>
      <w:pPr>
        <w:numPr>
          <w:ilvl w:val="0"/>
          <w:numId w:val="1004"/>
        </w:numPr>
        <w:pStyle w:val="Compact"/>
      </w:pPr>
      <w:r>
        <w:t xml:space="preserve">Automatic retention and cleanup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li-commands"/>
    <w:p>
      <w:pPr>
        <w:pStyle w:val="Heading2"/>
      </w:pPr>
      <w:r>
        <w:t xml:space="preserve">CLI Commands</w:t>
      </w:r>
    </w:p>
    <w:p>
      <w:pPr>
        <w:pStyle w:val="SourceCode"/>
      </w:pPr>
      <w:r>
        <w:rPr>
          <w:rStyle w:val="CommentTok"/>
        </w:rPr>
        <w:t xml:space="preserve"># Viewer export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--zip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fonds </w:t>
      </w:r>
      <w:r>
        <w:rPr>
          <w:rStyle w:val="AttributeTok"/>
        </w:rPr>
        <w:t xml:space="preserve">--slug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my-fonds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read_only</w:t>
      </w:r>
      <w:r>
        <w:br/>
      </w:r>
      <w:r>
        <w:br/>
      </w:r>
      <w:r>
        <w:rPr>
          <w:rStyle w:val="CommentTok"/>
        </w:rPr>
        <w:t xml:space="preserve"># Archive export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 </w:t>
      </w:r>
      <w:r>
        <w:rPr>
          <w:rStyle w:val="AttributeTok"/>
        </w:rPr>
        <w:t xml:space="preserve">--zip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portable:export </w:t>
      </w:r>
      <w:r>
        <w:rPr>
          <w:rStyle w:val="AttributeTok"/>
        </w:rPr>
        <w:t xml:space="preserve">--scope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repository </w:t>
      </w:r>
      <w:r>
        <w:rPr>
          <w:rStyle w:val="AttributeTok"/>
        </w:rPr>
        <w:t xml:space="preserve">--repository-id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 </w:t>
      </w:r>
      <w:r>
        <w:rPr>
          <w:rStyle w:val="AttributeTok"/>
        </w:rPr>
        <w:t xml:space="preserve">--mode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archive</w:t>
      </w:r>
      <w:r>
        <w:br/>
      </w:r>
      <w:r>
        <w:br/>
      </w:r>
      <w:r>
        <w:rPr>
          <w:rStyle w:val="CommentTok"/>
        </w:rPr>
        <w:t xml:space="preserve"># Verify an archive export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portable:verify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/path/to/export.zip</w:t>
      </w:r>
      <w:r>
        <w:br/>
      </w:r>
      <w:r>
        <w:br/>
      </w:r>
      <w:r>
        <w:rPr>
          <w:rStyle w:val="CommentTok"/>
        </w:rPr>
        <w:t xml:space="preserve"># Clean up expired exports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portable:cleanup</w:t>
      </w:r>
    </w:p>
    <w:p>
      <w:r>
        <w:pict>
          <v:rect style="width:0;height:1.5pt" o:hralign="center" o:hrstd="t" o:hr="t"/>
        </w:pict>
      </w:r>
    </w:p>
    <w:bookmarkEnd w:id="25"/>
    <w:bookmarkStart w:id="26" w:name="archive-export-package-structure"/>
    <w:p>
      <w:pPr>
        <w:pStyle w:val="Heading2"/>
      </w:pPr>
      <w:r>
        <w:t xml:space="preserve">Archive Export Package Structure</w:t>
      </w:r>
    </w:p>
    <w:p>
      <w:pPr>
        <w:pStyle w:val="SourceCode"/>
      </w:pPr>
      <w:r>
        <w:rPr>
          <w:rStyle w:val="VerbatimChar"/>
        </w:rPr>
        <w:t xml:space="preserve">export-{id}/</w:t>
      </w:r>
      <w:r>
        <w:br/>
      </w:r>
      <w:r>
        <w:rPr>
          <w:rStyle w:val="VerbatimChar"/>
        </w:rPr>
        <w:t xml:space="preserve">  manifest.json          # Checksums, entity counts, export metadata</w:t>
      </w:r>
      <w:r>
        <w:br/>
      </w:r>
      <w:r>
        <w:rPr>
          <w:rStyle w:val="VerbatimChar"/>
        </w:rPr>
        <w:t xml:space="preserve">  data/</w:t>
      </w:r>
      <w:r>
        <w:br/>
      </w:r>
      <w:r>
        <w:rPr>
          <w:rStyle w:val="VerbatimChar"/>
        </w:rPr>
        <w:t xml:space="preserve">    descriptions.json    # ISAD(G) fields + all i18n + properties</w:t>
      </w:r>
      <w:r>
        <w:br/>
      </w:r>
      <w:r>
        <w:rPr>
          <w:rStyle w:val="VerbatimChar"/>
        </w:rPr>
        <w:t xml:space="preserve">    authorities.json     # Actors with type, dates, relations</w:t>
      </w:r>
      <w:r>
        <w:br/>
      </w:r>
      <w:r>
        <w:rPr>
          <w:rStyle w:val="VerbatimChar"/>
        </w:rPr>
        <w:t xml:space="preserve">    taxonomies.json      # Full taxonomy trees with parent-child</w:t>
      </w:r>
      <w:r>
        <w:br/>
      </w:r>
      <w:r>
        <w:rPr>
          <w:rStyle w:val="VerbatimChar"/>
        </w:rPr>
        <w:t xml:space="preserve">    rights.json          # Rights statements linked to objects</w:t>
      </w:r>
      <w:r>
        <w:br/>
      </w:r>
      <w:r>
        <w:rPr>
          <w:rStyle w:val="VerbatimChar"/>
        </w:rPr>
        <w:t xml:space="preserve">    accessions.json      # Accession records + events + donors</w:t>
      </w:r>
      <w:r>
        <w:br/>
      </w:r>
      <w:r>
        <w:rPr>
          <w:rStyle w:val="VerbatimChar"/>
        </w:rPr>
        <w:t xml:space="preserve">    physical_objects.json# Storage locations</w:t>
      </w:r>
      <w:r>
        <w:br/>
      </w:r>
      <w:r>
        <w:rPr>
          <w:rStyle w:val="VerbatimChar"/>
        </w:rPr>
        <w:t xml:space="preserve">    events.json          # Events linked to descriptions</w:t>
      </w:r>
      <w:r>
        <w:br/>
      </w:r>
      <w:r>
        <w:rPr>
          <w:rStyle w:val="VerbatimChar"/>
        </w:rPr>
        <w:t xml:space="preserve">    notes.json           # Notes by type</w:t>
      </w:r>
      <w:r>
        <w:br/>
      </w:r>
      <w:r>
        <w:rPr>
          <w:rStyle w:val="VerbatimChar"/>
        </w:rPr>
        <w:t xml:space="preserve">    relations.json       # Inter-entity relationships</w:t>
      </w:r>
      <w:r>
        <w:br/>
      </w:r>
      <w:r>
        <w:rPr>
          <w:rStyle w:val="VerbatimChar"/>
        </w:rPr>
        <w:t xml:space="preserve">    digital_objects.json # Digital object metadata</w:t>
      </w:r>
      <w:r>
        <w:br/>
      </w:r>
      <w:r>
        <w:rPr>
          <w:rStyle w:val="VerbatimChar"/>
        </w:rPr>
        <w:t xml:space="preserve">    repositories.json    # Repository metadata + contacts</w:t>
      </w:r>
      <w:r>
        <w:br/>
      </w:r>
      <w:r>
        <w:rPr>
          <w:rStyle w:val="VerbatimChar"/>
        </w:rPr>
        <w:t xml:space="preserve">  objects/               # Digital object files (if included)</w:t>
      </w:r>
      <w:r>
        <w:br/>
      </w:r>
      <w:r>
        <w:rPr>
          <w:rStyle w:val="VerbatimChar"/>
        </w:rPr>
        <w:t xml:space="preserve">    thumbnails/</w:t>
      </w:r>
      <w:r>
        <w:br/>
      </w:r>
      <w:r>
        <w:rPr>
          <w:rStyle w:val="VerbatimChar"/>
        </w:rPr>
        <w:t xml:space="preserve">    references/</w:t>
      </w:r>
      <w:r>
        <w:br/>
      </w:r>
      <w:r>
        <w:rPr>
          <w:rStyle w:val="VerbatimChar"/>
        </w:rPr>
        <w:t xml:space="preserve">    masters/</w:t>
      </w:r>
    </w:p>
    <w:p>
      <w:r>
        <w:pict>
          <v:rect style="width:0;height:1.5pt" o:hralign="center" o:hrstd="t" o:hr="t"/>
        </w:pict>
      </w:r>
    </w:p>
    <w:bookmarkEnd w:id="26"/>
    <w:bookmarkStart w:id="27" w:name="technical-requirements"/>
    <w:p>
      <w:pPr>
        <w:pStyle w:val="Heading2"/>
      </w:pPr>
      <w:r>
        <w:t xml:space="preserve">Technical Requirements</w:t>
      </w:r>
    </w:p>
    <w:p>
      <w:pPr>
        <w:numPr>
          <w:ilvl w:val="0"/>
          <w:numId w:val="1005"/>
        </w:numPr>
        <w:pStyle w:val="Compact"/>
      </w:pPr>
      <w:r>
        <w:t xml:space="preserve">AtoM Heratio Framework v2.0+</w:t>
      </w:r>
    </w:p>
    <w:p>
      <w:pPr>
        <w:numPr>
          <w:ilvl w:val="0"/>
          <w:numId w:val="1005"/>
        </w:numPr>
        <w:pStyle w:val="Compact"/>
      </w:pPr>
      <w:r>
        <w:t xml:space="preserve">PHP 8.1+</w:t>
      </w:r>
    </w:p>
    <w:p>
      <w:pPr>
        <w:numPr>
          <w:ilvl w:val="0"/>
          <w:numId w:val="1005"/>
        </w:numPr>
        <w:pStyle w:val="Compact"/>
      </w:pPr>
      <w:r>
        <w:t xml:space="preserve">MySQL 8.0+</w:t>
      </w:r>
    </w:p>
    <w:p>
      <w:pPr>
        <w:numPr>
          <w:ilvl w:val="0"/>
          <w:numId w:val="1005"/>
        </w:numPr>
        <w:pStyle w:val="Compact"/>
      </w:pPr>
      <w:r>
        <w:t xml:space="preserve">ahgCorePlugin (dependency)</w:t>
      </w:r>
    </w:p>
    <w:p>
      <w:r>
        <w:pict>
          <v:rect style="width:0;height:1.5pt" o:hralign="center" o:hrstd="t" o:hr="t"/>
        </w:pict>
      </w:r>
    </w:p>
    <w:bookmarkEnd w:id="27"/>
    <w:bookmarkStart w:id="28" w:name="compliance-standards"/>
    <w:p>
      <w:pPr>
        <w:pStyle w:val="Heading2"/>
      </w:pPr>
      <w:r>
        <w:t xml:space="preserve">Compliance &amp; Standards</w:t>
      </w:r>
    </w:p>
    <w:p>
      <w:pPr>
        <w:numPr>
          <w:ilvl w:val="0"/>
          <w:numId w:val="1006"/>
        </w:numPr>
        <w:pStyle w:val="Compact"/>
      </w:pPr>
      <w:r>
        <w:t xml:space="preserve">Supports OAIS-aligned export packaging</w:t>
      </w:r>
    </w:p>
    <w:p>
      <w:pPr>
        <w:numPr>
          <w:ilvl w:val="0"/>
          <w:numId w:val="1006"/>
        </w:numPr>
        <w:pStyle w:val="Compact"/>
      </w:pPr>
      <w:r>
        <w:t xml:space="preserve">SHA-256 file integrity verification</w:t>
      </w:r>
    </w:p>
    <w:p>
      <w:pPr>
        <w:numPr>
          <w:ilvl w:val="0"/>
          <w:numId w:val="1006"/>
        </w:numPr>
        <w:pStyle w:val="Compact"/>
      </w:pPr>
      <w:r>
        <w:t xml:space="preserve">Full audit trail integration</w:t>
      </w:r>
    </w:p>
    <w:p>
      <w:pPr>
        <w:numPr>
          <w:ilvl w:val="0"/>
          <w:numId w:val="1006"/>
        </w:numPr>
        <w:pStyle w:val="Compact"/>
      </w:pPr>
      <w:r>
        <w:t xml:space="preserve">Compatible with NARSSA/POPIA archival requirements</w:t>
      </w:r>
    </w:p>
    <w:p>
      <w:r>
        <w:pict>
          <v:rect style="width:0;height:1.5pt" o:hralign="center" o:hrstd="t" o:hr="t"/>
        </w:pict>
      </w:r>
    </w:p>
    <w:bookmarkEnd w:id="28"/>
    <w:bookmarkStart w:id="29" w:name="admin-ui"/>
    <w:p>
      <w:pPr>
        <w:pStyle w:val="Heading2"/>
      </w:pPr>
      <w:r>
        <w:t xml:space="preserve">Admin UI</w:t>
      </w:r>
    </w:p>
    <w:p>
      <w:pPr>
        <w:pStyle w:val="FirstParagraph"/>
      </w:pPr>
      <w:r>
        <w:t xml:space="preserve">Access via</w:t>
      </w:r>
      <w:r>
        <w:t xml:space="preserve"> </w:t>
      </w:r>
      <w:r>
        <w:rPr>
          <w:bCs/>
          <w:b/>
        </w:rPr>
        <w:t xml:space="preserve">Admin &gt; Portable Export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/portable-export</w:t>
      </w:r>
      <w:r>
        <w:t xml:space="preserve">).</w:t>
      </w:r>
    </w:p>
    <w:p>
      <w:pPr>
        <w:pStyle w:val="BodyText"/>
      </w:pPr>
      <w:r>
        <w:t xml:space="preserve">The 4-step wizard guides through: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Scope</w:t>
      </w:r>
      <w:r>
        <w:t xml:space="preserve"> </w:t>
      </w:r>
      <w:r>
        <w:t xml:space="preserve">— Select what to export (all, fonds, repository)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— Choose export type (Viewer/Archive), entity types, digital objects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Configure</w:t>
      </w:r>
      <w:r>
        <w:t xml:space="preserve"> </w:t>
      </w:r>
      <w:r>
        <w:t xml:space="preserve">— Title, language, branding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Generate</w:t>
      </w:r>
      <w:r>
        <w:t xml:space="preserve"> </w:t>
      </w:r>
      <w:r>
        <w:t xml:space="preserve">— Review settings, start export, monitor progress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Archive and Heritage Group (Pty) Ltd</w:t>
      </w:r>
      <w:r>
        <w:t xml:space="preserve"> </w:t>
      </w:r>
      <w:r>
        <w:rPr>
          <w:iCs/>
          <w:i/>
        </w:rPr>
        <w:t xml:space="preserve">https://theahg.co.za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AtoM Heratio - Portable Export Feature Overview</dc:title>
  <dc:creator>The Archive and Heritage Group (Pty) Ltd</dc:creator>
  <cp:keywords/>
  <dcterms:created xsi:type="dcterms:W3CDTF">2026-03-01T10:38:25Z</dcterms:created>
  <dcterms:modified xsi:type="dcterms:W3CDTF">2026-03-01T10:38:25Z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