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Integrity Assurance Plugin Feature Overview</w:t>
      </w:r>
    </w:p>
    <w:p>
      <w:pPr>
        <w:pStyle w:val="Author"/>
      </w:pPr>
      <w:r>
        <w:t xml:space="preserve">The Archive and Heritage Group (Pty) Ltd</w:t>
      </w:r>
    </w:p>
    <w:bookmarkStart w:id="41" w:name="atom-heratio-integrity-assurance-plugin"/>
    <w:p>
      <w:pPr>
        <w:pStyle w:val="Heading1"/>
      </w:pPr>
      <w:r>
        <w:t xml:space="preserve">AtoM Heratio — Integrity Assurance Plugin</w:t>
      </w:r>
    </w:p>
    <w:bookmarkStart w:id="20" w:name="feature-overview"/>
    <w:p>
      <w:pPr>
        <w:pStyle w:val="Heading2"/>
      </w:pPr>
      <w:r>
        <w:t xml:space="preserve">Feature Overview</w:t>
      </w:r>
    </w:p>
    <w:p>
      <w:pPr>
        <w:pStyle w:val="FirstParagraph"/>
      </w:pPr>
      <w:r>
        <w:rPr>
          <w:bCs/>
          <w:b/>
        </w:rPr>
        <w:t xml:space="preserve">Plugin:</w:t>
      </w:r>
      <w:r>
        <w:t xml:space="preserve"> </w:t>
      </w:r>
      <w:r>
        <w:t xml:space="preserve">ahgIntegrityPlugin v1.1.0</w:t>
      </w:r>
      <w:r>
        <w:t xml:space="preserve"> </w:t>
      </w:r>
      <w:r>
        <w:rPr>
          <w:bCs/>
          <w:b/>
        </w:rPr>
        <w:t xml:space="preserve">Category:</w:t>
      </w:r>
      <w:r>
        <w:t xml:space="preserve"> </w:t>
      </w:r>
      <w:r>
        <w:t xml:space="preserve">Digital Preservation</w:t>
      </w:r>
      <w:r>
        <w:t xml:space="preserve"> </w:t>
      </w:r>
      <w:r>
        <w:rPr>
          <w:bCs/>
          <w:b/>
        </w:rPr>
        <w:t xml:space="preserve">Author:</w:t>
      </w:r>
      <w:r>
        <w:t xml:space="preserve"> </w:t>
      </w:r>
      <w:r>
        <w:t xml:space="preserve">The Archive and Heritage Group (Pty) Ltd</w:t>
      </w:r>
      <w:r>
        <w:t xml:space="preserve"> </w:t>
      </w:r>
      <w:r>
        <w:rPr>
          <w:bCs/>
          <w:b/>
        </w:rPr>
        <w:t xml:space="preserve">License:</w:t>
      </w:r>
      <w:r>
        <w:t xml:space="preserve"> </w:t>
      </w:r>
      <w:r>
        <w:t xml:space="preserve">AGPL-3.0</w:t>
      </w:r>
    </w:p>
    <w:p>
      <w:r>
        <w:pict>
          <v:rect style="width:0;height:1.5pt" o:hralign="center" o:hrstd="t" o:hr="t"/>
        </w:pict>
      </w:r>
    </w:p>
    <w:bookmarkEnd w:id="20"/>
    <w:bookmarkStart w:id="21" w:name="what-it-does"/>
    <w:p>
      <w:pPr>
        <w:pStyle w:val="Heading2"/>
      </w:pPr>
      <w:r>
        <w:t xml:space="preserve">What It Does</w:t>
      </w:r>
    </w:p>
    <w:p>
      <w:pPr>
        <w:pStyle w:val="FirstParagraph"/>
      </w:pPr>
      <w:r>
        <w:t xml:space="preserve">The Integrity Assurance plugin provides enterprise-grade automated integrity verification for digital objects managed by AtoM Heratio. It ensures that archival files remain unchanged over time by comparing stored cryptographic checksums against current file hashes, detecting corruption, unauthorized modifications, or storage failures before they become unrecoverable.</w:t>
      </w:r>
    </w:p>
    <w:p>
      <w:pPr>
        <w:pStyle w:val="BodyText"/>
      </w:pPr>
      <w:r>
        <w:t xml:space="preserve">The plugin builds on the existing Digital Preservation plugin’s checksum infrastructure, adding sophisticated scheduling, concurrency controls, failure management, retention policies, legal holds, and threshold-based alerting required by large-scale GLAM and DAM institutions.</w:t>
      </w:r>
    </w:p>
    <w:bookmarkEnd w:id="21"/>
    <w:bookmarkStart w:id="34" w:name="key-features"/>
    <w:p>
      <w:pPr>
        <w:pStyle w:val="Heading2"/>
      </w:pPr>
      <w:r>
        <w:t xml:space="preserve">Key Features</w:t>
      </w:r>
    </w:p>
    <w:bookmarkStart w:id="22" w:name="scheduled-verification"/>
    <w:p>
      <w:pPr>
        <w:pStyle w:val="Heading3"/>
      </w:pPr>
      <w:r>
        <w:t xml:space="preserve">Scheduled Verification</w:t>
      </w:r>
    </w:p>
    <w:p>
      <w:pPr>
        <w:numPr>
          <w:ilvl w:val="0"/>
          <w:numId w:val="1001"/>
        </w:numPr>
        <w:pStyle w:val="Compact"/>
      </w:pPr>
      <w:r>
        <w:rPr>
          <w:bCs/>
          <w:b/>
        </w:rPr>
        <w:t xml:space="preserve">Flexible scheduling</w:t>
      </w:r>
      <w:r>
        <w:t xml:space="preserve">: Daily, weekly, monthly, or custom cron expressions</w:t>
      </w:r>
    </w:p>
    <w:p>
      <w:pPr>
        <w:numPr>
          <w:ilvl w:val="0"/>
          <w:numId w:val="1001"/>
        </w:numPr>
        <w:pStyle w:val="Compact"/>
      </w:pPr>
      <w:r>
        <w:rPr>
          <w:bCs/>
          <w:b/>
        </w:rPr>
        <w:t xml:space="preserve">Scoped verification</w:t>
      </w:r>
      <w:r>
        <w:t xml:space="preserve">: Global (all objects), per-repository, or per-hierarchy node</w:t>
      </w:r>
    </w:p>
    <w:p>
      <w:pPr>
        <w:numPr>
          <w:ilvl w:val="0"/>
          <w:numId w:val="1001"/>
        </w:numPr>
        <w:pStyle w:val="Compact"/>
      </w:pPr>
      <w:r>
        <w:rPr>
          <w:bCs/>
          <w:b/>
        </w:rPr>
        <w:t xml:space="preserve">Configurable batch sizes</w:t>
      </w:r>
      <w:r>
        <w:t xml:space="preserve">: Process 200 objects at a time or scan entire collections</w:t>
      </w:r>
    </w:p>
    <w:p>
      <w:pPr>
        <w:numPr>
          <w:ilvl w:val="0"/>
          <w:numId w:val="1001"/>
        </w:numPr>
        <w:pStyle w:val="Compact"/>
      </w:pPr>
      <w:r>
        <w:rPr>
          <w:bCs/>
          <w:b/>
        </w:rPr>
        <w:t xml:space="preserve">Default schedules</w:t>
      </w:r>
      <w:r>
        <w:t xml:space="preserve">: Ships with a daily sample check (200 objects) and a weekly full scan</w:t>
      </w:r>
    </w:p>
    <w:bookmarkEnd w:id="22"/>
    <w:bookmarkStart w:id="23" w:name="concurrency-controls"/>
    <w:p>
      <w:pPr>
        <w:pStyle w:val="Heading3"/>
      </w:pPr>
      <w:r>
        <w:t xml:space="preserve">Concurrency Controls</w:t>
      </w:r>
    </w:p>
    <w:p>
      <w:pPr>
        <w:numPr>
          <w:ilvl w:val="0"/>
          <w:numId w:val="1002"/>
        </w:numPr>
        <w:pStyle w:val="Compact"/>
      </w:pPr>
      <w:r>
        <w:rPr>
          <w:bCs/>
          <w:b/>
        </w:rPr>
        <w:t xml:space="preserve">File-based locking</w:t>
      </w:r>
      <w:r>
        <w:t xml:space="preserve"> </w:t>
      </w:r>
      <w:r>
        <w:t xml:space="preserve">with PID stale recovery to prevent overlapping runs</w:t>
      </w:r>
    </w:p>
    <w:p>
      <w:pPr>
        <w:numPr>
          <w:ilvl w:val="0"/>
          <w:numId w:val="1002"/>
        </w:numPr>
        <w:pStyle w:val="Compact"/>
      </w:pPr>
      <w:r>
        <w:rPr>
          <w:bCs/>
          <w:b/>
        </w:rPr>
        <w:t xml:space="preserve">IO throttle</w:t>
      </w:r>
      <w:r>
        <w:t xml:space="preserve">: Configurable microsleep between objects to reduce disk pressure</w:t>
      </w:r>
    </w:p>
    <w:p>
      <w:pPr>
        <w:numPr>
          <w:ilvl w:val="0"/>
          <w:numId w:val="1002"/>
        </w:numPr>
        <w:pStyle w:val="Compact"/>
      </w:pPr>
      <w:r>
        <w:rPr>
          <w:bCs/>
          <w:b/>
        </w:rPr>
        <w:t xml:space="preserve">Memory guard</w:t>
      </w:r>
      <w:r>
        <w:t xml:space="preserve">: Automatic exit as</w:t>
      </w:r>
      <w:r>
        <w:t xml:space="preserve"> </w:t>
      </w:r>
      <w:r>
        <w:t xml:space="preserve">“</w:t>
      </w:r>
      <w:r>
        <w:t xml:space="preserve">partial</w:t>
      </w:r>
      <w:r>
        <w:t xml:space="preserve">”</w:t>
      </w:r>
      <w:r>
        <w:t xml:space="preserve"> </w:t>
      </w:r>
      <w:r>
        <w:t xml:space="preserve">if memory limit exceeded</w:t>
      </w:r>
    </w:p>
    <w:p>
      <w:pPr>
        <w:numPr>
          <w:ilvl w:val="0"/>
          <w:numId w:val="1002"/>
        </w:numPr>
        <w:pStyle w:val="Compact"/>
      </w:pPr>
      <w:r>
        <w:rPr>
          <w:bCs/>
          <w:b/>
        </w:rPr>
        <w:t xml:space="preserve">Runtime guard</w:t>
      </w:r>
      <w:r>
        <w:t xml:space="preserve">: Automatic exit as</w:t>
      </w:r>
      <w:r>
        <w:t xml:space="preserve"> </w:t>
      </w:r>
      <w:r>
        <w:t xml:space="preserve">“</w:t>
      </w:r>
      <w:r>
        <w:t xml:space="preserve">timeout</w:t>
      </w:r>
      <w:r>
        <w:t xml:space="preserve">”</w:t>
      </w:r>
      <w:r>
        <w:t xml:space="preserve"> </w:t>
      </w:r>
      <w:r>
        <w:t xml:space="preserve">if time limit exceeded</w:t>
      </w:r>
    </w:p>
    <w:p>
      <w:pPr>
        <w:numPr>
          <w:ilvl w:val="0"/>
          <w:numId w:val="1002"/>
        </w:numPr>
        <w:pStyle w:val="Compact"/>
      </w:pPr>
      <w:r>
        <w:rPr>
          <w:bCs/>
          <w:b/>
        </w:rPr>
        <w:t xml:space="preserve">Overlap prevention</w:t>
      </w:r>
      <w:r>
        <w:t xml:space="preserve">: Configurable maximum concurrent runs per schedule</w:t>
      </w:r>
    </w:p>
    <w:bookmarkEnd w:id="23"/>
    <w:bookmarkStart w:id="24" w:name="append-only-verification-ledger"/>
    <w:p>
      <w:pPr>
        <w:pStyle w:val="Heading3"/>
      </w:pPr>
      <w:r>
        <w:t xml:space="preserve">Append-Only Verification Ledger</w:t>
      </w:r>
    </w:p>
    <w:p>
      <w:pPr>
        <w:numPr>
          <w:ilvl w:val="0"/>
          <w:numId w:val="1003"/>
        </w:numPr>
        <w:pStyle w:val="Compact"/>
      </w:pPr>
      <w:r>
        <w:t xml:space="preserve">Complete audit trail of every verification attempt</w:t>
      </w:r>
    </w:p>
    <w:p>
      <w:pPr>
        <w:numPr>
          <w:ilvl w:val="0"/>
          <w:numId w:val="1003"/>
        </w:numPr>
        <w:pStyle w:val="Compact"/>
      </w:pPr>
      <w:r>
        <w:t xml:space="preserve">Entries are never updated or deleted — full forensic history</w:t>
      </w:r>
    </w:p>
    <w:p>
      <w:pPr>
        <w:numPr>
          <w:ilvl w:val="0"/>
          <w:numId w:val="1003"/>
        </w:numPr>
        <w:pStyle w:val="Compact"/>
      </w:pPr>
      <w:r>
        <w:rPr>
          <w:bCs/>
          <w:b/>
        </w:rPr>
        <w:t xml:space="preserve">Actor and hostname tracking</w:t>
      </w:r>
      <w:r>
        <w:t xml:space="preserve"> </w:t>
      </w:r>
      <w:r>
        <w:t xml:space="preserve">for multi-server environments</w:t>
      </w:r>
    </w:p>
    <w:p>
      <w:pPr>
        <w:numPr>
          <w:ilvl w:val="0"/>
          <w:numId w:val="1003"/>
        </w:numPr>
        <w:pStyle w:val="Compact"/>
      </w:pPr>
      <w:r>
        <w:t xml:space="preserve">Denormalized repository and information object IDs for efficient scoped queries</w:t>
      </w:r>
    </w:p>
    <w:p>
      <w:pPr>
        <w:numPr>
          <w:ilvl w:val="0"/>
          <w:numId w:val="1003"/>
        </w:numPr>
        <w:pStyle w:val="Compact"/>
      </w:pPr>
      <w:r>
        <w:t xml:space="preserve">Records file existence, readability, hash values, match status, and timing</w:t>
      </w:r>
    </w:p>
    <w:bookmarkEnd w:id="24"/>
    <w:bookmarkStart w:id="25" w:name="dead-letter-queue"/>
    <w:p>
      <w:pPr>
        <w:pStyle w:val="Heading3"/>
      </w:pPr>
      <w:r>
        <w:t xml:space="preserve">Dead Letter Queue</w:t>
      </w:r>
    </w:p>
    <w:p>
      <w:pPr>
        <w:numPr>
          <w:ilvl w:val="0"/>
          <w:numId w:val="1004"/>
        </w:numPr>
        <w:pStyle w:val="Compact"/>
      </w:pPr>
      <w:r>
        <w:t xml:space="preserve">Automatic escalation after configurable consecutive failures (default: 3)</w:t>
      </w:r>
    </w:p>
    <w:p>
      <w:pPr>
        <w:numPr>
          <w:ilvl w:val="0"/>
          <w:numId w:val="1004"/>
        </w:numPr>
        <w:pStyle w:val="Compact"/>
      </w:pPr>
      <w:r>
        <w:t xml:space="preserve">Workflow states: Open, Acknowledged, Investigating, Resolved, Ignored</w:t>
      </w:r>
    </w:p>
    <w:p>
      <w:pPr>
        <w:numPr>
          <w:ilvl w:val="0"/>
          <w:numId w:val="1004"/>
        </w:numPr>
        <w:pStyle w:val="Compact"/>
      </w:pPr>
      <w:r>
        <w:t xml:space="preserve">Per-object, per-failure-type tracking with unique constraint</w:t>
      </w:r>
    </w:p>
    <w:p>
      <w:pPr>
        <w:numPr>
          <w:ilvl w:val="0"/>
          <w:numId w:val="1004"/>
        </w:numPr>
        <w:pStyle w:val="Compact"/>
      </w:pPr>
      <w:r>
        <w:t xml:space="preserve">Retry management with configurable maximum retries</w:t>
      </w:r>
    </w:p>
    <w:bookmarkEnd w:id="25"/>
    <w:bookmarkStart w:id="26" w:name="csv-export-auditor-pack-v1.1.0"/>
    <w:p>
      <w:pPr>
        <w:pStyle w:val="Heading3"/>
      </w:pPr>
      <w:r>
        <w:t xml:space="preserve">CSV Export &amp; Auditor Pack (v1.1.0)</w:t>
      </w:r>
    </w:p>
    <w:p>
      <w:pPr>
        <w:numPr>
          <w:ilvl w:val="0"/>
          <w:numId w:val="1005"/>
        </w:numPr>
        <w:pStyle w:val="Compact"/>
      </w:pPr>
      <w:r>
        <w:rPr>
          <w:bCs/>
          <w:b/>
        </w:rPr>
        <w:t xml:space="preserve">CSV export</w:t>
      </w:r>
      <w:r>
        <w:t xml:space="preserve">: Download the complete verification ledger with date, repository, and outcome filters</w:t>
      </w:r>
    </w:p>
    <w:p>
      <w:pPr>
        <w:numPr>
          <w:ilvl w:val="0"/>
          <w:numId w:val="1005"/>
        </w:numPr>
        <w:pStyle w:val="Compact"/>
      </w:pPr>
      <w:r>
        <w:rPr>
          <w:bCs/>
          <w:b/>
        </w:rPr>
        <w:t xml:space="preserve">Auditor Pack</w:t>
      </w:r>
      <w:r>
        <w:t xml:space="preserve">: ZIP archive containing standalone summary.html (no external dependencies), exceptions.csv, and config-snapshot.json</w:t>
      </w:r>
    </w:p>
    <w:p>
      <w:pPr>
        <w:numPr>
          <w:ilvl w:val="0"/>
          <w:numId w:val="1005"/>
        </w:numPr>
        <w:pStyle w:val="Compact"/>
      </w:pPr>
      <w:r>
        <w:rPr>
          <w:bCs/>
          <w:b/>
        </w:rPr>
        <w:t xml:space="preserve">CLI export</w:t>
      </w:r>
      <w:r>
        <w:t xml:space="preserve">:</w:t>
      </w:r>
      <w:r>
        <w:t xml:space="preserve"> </w:t>
      </w:r>
      <w:r>
        <w:rPr>
          <w:rStyle w:val="VerbatimChar"/>
        </w:rPr>
        <w:t xml:space="preserve">--export-csv</w:t>
      </w:r>
      <w:r>
        <w:t xml:space="preserve"> </w:t>
      </w:r>
      <w:r>
        <w:t xml:space="preserve">and</w:t>
      </w:r>
      <w:r>
        <w:t xml:space="preserve"> </w:t>
      </w:r>
      <w:r>
        <w:rPr>
          <w:rStyle w:val="VerbatimChar"/>
        </w:rPr>
        <w:t xml:space="preserve">--auditor-pack</w:t>
      </w:r>
      <w:r>
        <w:t xml:space="preserve"> </w:t>
      </w:r>
      <w:r>
        <w:t xml:space="preserve">flags for automated reporting pipelines</w:t>
      </w:r>
    </w:p>
    <w:bookmarkEnd w:id="26"/>
    <w:bookmarkStart w:id="27" w:name="retention-policy-engine-v1.1.0"/>
    <w:p>
      <w:pPr>
        <w:pStyle w:val="Heading3"/>
      </w:pPr>
      <w:r>
        <w:t xml:space="preserve">Retention Policy Engine (v1.1.0)</w:t>
      </w:r>
    </w:p>
    <w:p>
      <w:pPr>
        <w:numPr>
          <w:ilvl w:val="0"/>
          <w:numId w:val="1006"/>
        </w:numPr>
        <w:pStyle w:val="Compact"/>
      </w:pPr>
      <w:r>
        <w:rPr>
          <w:bCs/>
          <w:b/>
        </w:rPr>
        <w:t xml:space="preserve">Policy definitions</w:t>
      </w:r>
      <w:r>
        <w:t xml:space="preserve">: Name, description, retention period (days), trigger type, scope</w:t>
      </w:r>
    </w:p>
    <w:p>
      <w:pPr>
        <w:numPr>
          <w:ilvl w:val="0"/>
          <w:numId w:val="1006"/>
        </w:numPr>
        <w:pStyle w:val="Compact"/>
      </w:pPr>
      <w:r>
        <w:rPr>
          <w:bCs/>
          <w:b/>
        </w:rPr>
        <w:t xml:space="preserve">Trigger types</w:t>
      </w:r>
      <w:r>
        <w:t xml:space="preserve">: Ingest date, last modified, closure date, last access</w:t>
      </w:r>
    </w:p>
    <w:p>
      <w:pPr>
        <w:numPr>
          <w:ilvl w:val="0"/>
          <w:numId w:val="1006"/>
        </w:numPr>
        <w:pStyle w:val="Compact"/>
      </w:pPr>
      <w:r>
        <w:rPr>
          <w:bCs/>
          <w:b/>
        </w:rPr>
        <w:t xml:space="preserve">Scope types</w:t>
      </w:r>
      <w:r>
        <w:t xml:space="preserve">: Global, per-repository, or per-hierarchy node</w:t>
      </w:r>
    </w:p>
    <w:p>
      <w:pPr>
        <w:numPr>
          <w:ilvl w:val="0"/>
          <w:numId w:val="1006"/>
        </w:numPr>
        <w:pStyle w:val="Compact"/>
      </w:pPr>
      <w:r>
        <w:rPr>
          <w:bCs/>
          <w:b/>
        </w:rPr>
        <w:t xml:space="preserve">Disposition review queue</w:t>
      </w:r>
      <w:r>
        <w:t xml:space="preserve">: Eligible, Pending Review, Approved, Rejected, Held, Disposed</w:t>
      </w:r>
    </w:p>
    <w:p>
      <w:pPr>
        <w:numPr>
          <w:ilvl w:val="0"/>
          <w:numId w:val="1006"/>
        </w:numPr>
        <w:pStyle w:val="Compact"/>
      </w:pPr>
      <w:r>
        <w:rPr>
          <w:bCs/>
          <w:b/>
        </w:rPr>
        <w:t xml:space="preserve">Safe disposition</w:t>
      </w:r>
      <w:r>
        <w:t xml:space="preserve">: Marks as</w:t>
      </w:r>
      <w:r>
        <w:t xml:space="preserve"> </w:t>
      </w:r>
      <w:r>
        <w:t xml:space="preserve">“</w:t>
      </w:r>
      <w:r>
        <w:t xml:space="preserve">disposed</w:t>
      </w:r>
      <w:r>
        <w:t xml:space="preserve">”</w:t>
      </w:r>
      <w:r>
        <w:t xml:space="preserve"> </w:t>
      </w:r>
      <w:r>
        <w:t xml:space="preserve">only — no actual deletion (preserving archival integrity)</w:t>
      </w:r>
    </w:p>
    <w:bookmarkEnd w:id="27"/>
    <w:bookmarkStart w:id="28" w:name="legal-holds-v1.1.0"/>
    <w:p>
      <w:pPr>
        <w:pStyle w:val="Heading3"/>
      </w:pPr>
      <w:r>
        <w:t xml:space="preserve">Legal Holds (v1.1.0)</w:t>
      </w:r>
    </w:p>
    <w:p>
      <w:pPr>
        <w:numPr>
          <w:ilvl w:val="0"/>
          <w:numId w:val="1007"/>
        </w:numPr>
        <w:pStyle w:val="Compact"/>
      </w:pPr>
      <w:r>
        <w:t xml:space="preserve">Place legal holds on information objects to block disposition</w:t>
      </w:r>
    </w:p>
    <w:p>
      <w:pPr>
        <w:numPr>
          <w:ilvl w:val="0"/>
          <w:numId w:val="1007"/>
        </w:numPr>
        <w:pStyle w:val="Compact"/>
      </w:pPr>
      <w:r>
        <w:t xml:space="preserve">Automatic blocking of disposition queue entries when hold is placed</w:t>
      </w:r>
    </w:p>
    <w:p>
      <w:pPr>
        <w:numPr>
          <w:ilvl w:val="0"/>
          <w:numId w:val="1007"/>
        </w:numPr>
        <w:pStyle w:val="Compact"/>
      </w:pPr>
      <w:r>
        <w:t xml:space="preserve">Release workflow with re-evaluation of queue entries</w:t>
      </w:r>
    </w:p>
    <w:p>
      <w:pPr>
        <w:numPr>
          <w:ilvl w:val="0"/>
          <w:numId w:val="1007"/>
        </w:numPr>
        <w:pStyle w:val="Compact"/>
      </w:pPr>
      <w:r>
        <w:t xml:space="preserve">Full audit trail in the verification ledger</w:t>
      </w:r>
    </w:p>
    <w:bookmarkEnd w:id="28"/>
    <w:bookmarkStart w:id="29" w:name="threshold-based-alerting-v1.1.0"/>
    <w:p>
      <w:pPr>
        <w:pStyle w:val="Heading3"/>
      </w:pPr>
      <w:r>
        <w:t xml:space="preserve">Threshold-Based Alerting (v1.1.0)</w:t>
      </w:r>
    </w:p>
    <w:p>
      <w:pPr>
        <w:numPr>
          <w:ilvl w:val="0"/>
          <w:numId w:val="1008"/>
        </w:numPr>
        <w:pStyle w:val="Compact"/>
      </w:pPr>
      <w:r>
        <w:rPr>
          <w:bCs/>
          <w:b/>
        </w:rPr>
        <w:t xml:space="preserve">Alert types</w:t>
      </w:r>
      <w:r>
        <w:t xml:space="preserve">: Pass rate below threshold, failure count above, dead letter count above, backlog above, run failure</w:t>
      </w:r>
    </w:p>
    <w:p>
      <w:pPr>
        <w:numPr>
          <w:ilvl w:val="0"/>
          <w:numId w:val="1008"/>
        </w:numPr>
        <w:pStyle w:val="Compact"/>
      </w:pPr>
      <w:r>
        <w:rPr>
          <w:bCs/>
          <w:b/>
        </w:rPr>
        <w:t xml:space="preserve">Email notifications</w:t>
      </w:r>
      <w:r>
        <w:t xml:space="preserve">: Via SwiftMailer (matches existing AtoM pattern)</w:t>
      </w:r>
    </w:p>
    <w:p>
      <w:pPr>
        <w:numPr>
          <w:ilvl w:val="0"/>
          <w:numId w:val="1008"/>
        </w:numPr>
        <w:pStyle w:val="Compact"/>
      </w:pPr>
      <w:r>
        <w:rPr>
          <w:bCs/>
          <w:b/>
        </w:rPr>
        <w:t xml:space="preserve">Webhook notifications</w:t>
      </w:r>
      <w:r>
        <w:t xml:space="preserve">: HTTP POST with HMAC-SHA256 signature verification</w:t>
      </w:r>
    </w:p>
    <w:p>
      <w:pPr>
        <w:numPr>
          <w:ilvl w:val="0"/>
          <w:numId w:val="1008"/>
        </w:numPr>
        <w:pStyle w:val="Compact"/>
      </w:pPr>
      <w:r>
        <w:rPr>
          <w:bCs/>
          <w:b/>
        </w:rPr>
        <w:t xml:space="preserve">Schedule notifications</w:t>
      </w:r>
      <w:r>
        <w:t xml:space="preserve">: Existing notify_email, notify_on_failure, notify_on_mismatch wired to alert system</w:t>
      </w:r>
    </w:p>
    <w:p>
      <w:pPr>
        <w:numPr>
          <w:ilvl w:val="0"/>
          <w:numId w:val="1008"/>
        </w:numPr>
        <w:pStyle w:val="Compact"/>
      </w:pPr>
      <w:r>
        <w:rPr>
          <w:bCs/>
          <w:b/>
        </w:rPr>
        <w:t xml:space="preserve">Non-fatal</w:t>
      </w:r>
      <w:r>
        <w:t xml:space="preserve">: Alert failures never break verification runs</w:t>
      </w:r>
    </w:p>
    <w:bookmarkEnd w:id="29"/>
    <w:bookmarkStart w:id="30" w:name="enhanced-dashboard-v1.1.0"/>
    <w:p>
      <w:pPr>
        <w:pStyle w:val="Heading3"/>
      </w:pPr>
      <w:r>
        <w:t xml:space="preserve">Enhanced Dashboard (v1.1.0)</w:t>
      </w:r>
    </w:p>
    <w:p>
      <w:pPr>
        <w:numPr>
          <w:ilvl w:val="0"/>
          <w:numId w:val="1009"/>
        </w:numPr>
        <w:pStyle w:val="Compact"/>
      </w:pPr>
      <w:r>
        <w:rPr>
          <w:bCs/>
          <w:b/>
        </w:rPr>
        <w:t xml:space="preserve">Backlog card</w:t>
      </w:r>
      <w:r>
        <w:t xml:space="preserve">: Count of master digital objects never verified</w:t>
      </w:r>
    </w:p>
    <w:p>
      <w:pPr>
        <w:numPr>
          <w:ilvl w:val="0"/>
          <w:numId w:val="1009"/>
        </w:numPr>
        <w:pStyle w:val="Compact"/>
      </w:pPr>
      <w:r>
        <w:rPr>
          <w:bCs/>
          <w:b/>
        </w:rPr>
        <w:t xml:space="preserve">Throughput card</w:t>
      </w:r>
      <w:r>
        <w:t xml:space="preserve">: Objects/hour and GB/hour over the last 7 days</w:t>
      </w:r>
    </w:p>
    <w:p>
      <w:pPr>
        <w:numPr>
          <w:ilvl w:val="0"/>
          <w:numId w:val="1009"/>
        </w:numPr>
        <w:pStyle w:val="Compact"/>
      </w:pPr>
      <w:r>
        <w:rPr>
          <w:bCs/>
          <w:b/>
        </w:rPr>
        <w:t xml:space="preserve">Daily Trend chart</w:t>
      </w:r>
      <w:r>
        <w:t xml:space="preserve">: CSS-only horizontal bar chart (30 days), green=pass, red=fail</w:t>
      </w:r>
    </w:p>
    <w:p>
      <w:pPr>
        <w:numPr>
          <w:ilvl w:val="0"/>
          <w:numId w:val="1009"/>
        </w:numPr>
        <w:pStyle w:val="Compact"/>
      </w:pPr>
      <w:r>
        <w:rPr>
          <w:bCs/>
          <w:b/>
        </w:rPr>
        <w:t xml:space="preserve">Repository Breakdown table</w:t>
      </w:r>
      <w:r>
        <w:t xml:space="preserve">: Per-repository totals, pass/fail counts, pass rate</w:t>
      </w:r>
    </w:p>
    <w:p>
      <w:pPr>
        <w:numPr>
          <w:ilvl w:val="0"/>
          <w:numId w:val="1009"/>
        </w:numPr>
        <w:pStyle w:val="Compact"/>
      </w:pPr>
      <w:r>
        <w:rPr>
          <w:bCs/>
          <w:b/>
        </w:rPr>
        <w:t xml:space="preserve">Failure Type Breakdown table</w:t>
      </w:r>
      <w:r>
        <w:t xml:space="preserve">: Outcome distribution with percentages</w:t>
      </w:r>
    </w:p>
    <w:bookmarkEnd w:id="30"/>
    <w:bookmarkStart w:id="31" w:name="admin-dashboard"/>
    <w:p>
      <w:pPr>
        <w:pStyle w:val="Heading3"/>
      </w:pPr>
      <w:r>
        <w:t xml:space="preserve">Admin Dashboard</w:t>
      </w:r>
    </w:p>
    <w:p>
      <w:pPr>
        <w:numPr>
          <w:ilvl w:val="0"/>
          <w:numId w:val="1010"/>
        </w:numPr>
        <w:pStyle w:val="Compact"/>
      </w:pPr>
      <w:r>
        <w:t xml:space="preserve">Real-time statistics: master objects, total verifications, pass rate</w:t>
      </w:r>
    </w:p>
    <w:p>
      <w:pPr>
        <w:numPr>
          <w:ilvl w:val="0"/>
          <w:numId w:val="1010"/>
        </w:numPr>
        <w:pStyle w:val="Compact"/>
      </w:pPr>
      <w:r>
        <w:t xml:space="preserve">Recent runs and failures at a glance</w:t>
      </w:r>
    </w:p>
    <w:p>
      <w:pPr>
        <w:numPr>
          <w:ilvl w:val="0"/>
          <w:numId w:val="1010"/>
        </w:numPr>
        <w:pStyle w:val="Compact"/>
      </w:pPr>
      <w:r>
        <w:t xml:space="preserve">Schedule management with enable/disable toggle and on-demand execution</w:t>
      </w:r>
    </w:p>
    <w:p>
      <w:pPr>
        <w:numPr>
          <w:ilvl w:val="0"/>
          <w:numId w:val="1010"/>
        </w:numPr>
        <w:pStyle w:val="Compact"/>
      </w:pPr>
      <w:r>
        <w:t xml:space="preserve">Dead letter queue management with acknowledgment workflow</w:t>
      </w:r>
    </w:p>
    <w:p>
      <w:pPr>
        <w:numPr>
          <w:ilvl w:val="0"/>
          <w:numId w:val="1010"/>
        </w:numPr>
        <w:pStyle w:val="Compact"/>
      </w:pPr>
      <w:r>
        <w:t xml:space="preserve">Navigation to Export, Policies, Holds, Alerts pages</w:t>
      </w:r>
    </w:p>
    <w:bookmarkEnd w:id="31"/>
    <w:bookmarkStart w:id="32" w:name="cli-commands"/>
    <w:p>
      <w:pPr>
        <w:pStyle w:val="Heading3"/>
      </w:pPr>
      <w:r>
        <w:t xml:space="preserve">CLI Commands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Purpose</w:t>
            </w:r>
          </w:p>
        </w:tc>
      </w:tr>
      <w:tr>
        <w:tc>
          <w:tcPr/>
          <w:p>
            <w:pPr>
              <w:pStyle w:val="Compact"/>
              <w:jc w:val="left"/>
            </w:pPr>
            <w:r>
              <w:rPr>
                <w:rStyle w:val="VerbatimChar"/>
              </w:rPr>
              <w:t xml:space="preserve">php symfony integrity:verify</w:t>
            </w:r>
          </w:p>
        </w:tc>
        <w:tc>
          <w:tcPr/>
          <w:p>
            <w:pPr>
              <w:pStyle w:val="Compact"/>
              <w:jc w:val="left"/>
            </w:pPr>
            <w:r>
              <w:t xml:space="preserve">Run fixity verification (single object, batch, or by schedule)</w:t>
            </w:r>
          </w:p>
        </w:tc>
      </w:tr>
      <w:tr>
        <w:tc>
          <w:tcPr/>
          <w:p>
            <w:pPr>
              <w:pStyle w:val="Compact"/>
              <w:jc w:val="left"/>
            </w:pPr>
            <w:r>
              <w:rPr>
                <w:rStyle w:val="VerbatimChar"/>
              </w:rPr>
              <w:t xml:space="preserve">php symfony integrity:schedule</w:t>
            </w:r>
          </w:p>
        </w:tc>
        <w:tc>
          <w:tcPr/>
          <w:p>
            <w:pPr>
              <w:pStyle w:val="Compact"/>
              <w:jc w:val="left"/>
            </w:pPr>
            <w:r>
              <w:t xml:space="preserve">Manage schedules, run due schedules (for cron)</w:t>
            </w:r>
          </w:p>
        </w:tc>
      </w:tr>
      <w:tr>
        <w:tc>
          <w:tcPr/>
          <w:p>
            <w:pPr>
              <w:pStyle w:val="Compact"/>
              <w:jc w:val="left"/>
            </w:pPr>
            <w:r>
              <w:rPr>
                <w:rStyle w:val="VerbatimChar"/>
              </w:rPr>
              <w:t xml:space="preserve">php symfony integrity:report</w:t>
            </w:r>
          </w:p>
        </w:tc>
        <w:tc>
          <w:tcPr/>
          <w:p>
            <w:pPr>
              <w:pStyle w:val="Compact"/>
              <w:jc w:val="left"/>
            </w:pPr>
            <w:r>
              <w:t xml:space="preserve">Generate reports, CSV exports, auditor packs</w:t>
            </w:r>
          </w:p>
        </w:tc>
      </w:tr>
      <w:tr>
        <w:tc>
          <w:tcPr/>
          <w:p>
            <w:pPr>
              <w:pStyle w:val="Compact"/>
              <w:jc w:val="left"/>
            </w:pPr>
            <w:r>
              <w:rPr>
                <w:rStyle w:val="VerbatimChar"/>
              </w:rPr>
              <w:t xml:space="preserve">php symfony integrity:retention</w:t>
            </w:r>
          </w:p>
        </w:tc>
        <w:tc>
          <w:tcPr/>
          <w:p>
            <w:pPr>
              <w:pStyle w:val="Compact"/>
              <w:jc w:val="left"/>
            </w:pPr>
            <w:r>
              <w:t xml:space="preserve">Manage retention policies, legal holds, disposition queue</w:t>
            </w:r>
          </w:p>
        </w:tc>
      </w:tr>
    </w:tbl>
    <w:bookmarkEnd w:id="32"/>
    <w:bookmarkStart w:id="33" w:name="reporting"/>
    <w:p>
      <w:pPr>
        <w:pStyle w:val="Heading3"/>
      </w:pPr>
      <w:r>
        <w:t xml:space="preserve">Reporting</w:t>
      </w:r>
    </w:p>
    <w:p>
      <w:pPr>
        <w:numPr>
          <w:ilvl w:val="0"/>
          <w:numId w:val="1011"/>
        </w:numPr>
        <w:pStyle w:val="Compact"/>
      </w:pPr>
      <w:r>
        <w:t xml:space="preserve">Summary statistics with pass rates and trend analysis</w:t>
      </w:r>
    </w:p>
    <w:p>
      <w:pPr>
        <w:numPr>
          <w:ilvl w:val="0"/>
          <w:numId w:val="1011"/>
        </w:numPr>
        <w:pStyle w:val="Compact"/>
      </w:pPr>
      <w:r>
        <w:t xml:space="preserve">Monthly trend breakdown (12-month view)</w:t>
      </w:r>
    </w:p>
    <w:p>
      <w:pPr>
        <w:numPr>
          <w:ilvl w:val="0"/>
          <w:numId w:val="1011"/>
        </w:numPr>
        <w:pStyle w:val="Compact"/>
      </w:pPr>
      <w:r>
        <w:t xml:space="preserve">Dead letter queue status reports</w:t>
      </w:r>
    </w:p>
    <w:p>
      <w:pPr>
        <w:numPr>
          <w:ilvl w:val="0"/>
          <w:numId w:val="1011"/>
        </w:numPr>
        <w:pStyle w:val="Compact"/>
      </w:pPr>
      <w:r>
        <w:t xml:space="preserve">Multi-format output: text (terminal), JSON (integration), CSV (spreadsheets)</w:t>
      </w:r>
    </w:p>
    <w:p>
      <w:pPr>
        <w:numPr>
          <w:ilvl w:val="0"/>
          <w:numId w:val="1011"/>
        </w:numPr>
        <w:pStyle w:val="Compact"/>
      </w:pPr>
      <w:r>
        <w:t xml:space="preserve">Filtered CSV export with 50,000 row limit</w:t>
      </w:r>
    </w:p>
    <w:p>
      <w:pPr>
        <w:numPr>
          <w:ilvl w:val="0"/>
          <w:numId w:val="1011"/>
        </w:numPr>
        <w:pStyle w:val="Compact"/>
      </w:pPr>
      <w:r>
        <w:t xml:space="preserve">Auditor Pack ZIP for compliance audits</w:t>
      </w:r>
    </w:p>
    <w:bookmarkEnd w:id="33"/>
    <w:bookmarkEnd w:id="34"/>
    <w:bookmarkStart w:id="35" w:name="compliance-and-standards"/>
    <w:p>
      <w:pPr>
        <w:pStyle w:val="Heading2"/>
      </w:pPr>
      <w:r>
        <w:t xml:space="preserve">Compliance and Standards</w:t>
      </w:r>
    </w:p>
    <w:tbl>
      <w:tblPr>
        <w:tblStyle w:val="Table"/>
        <w:tblW w:type="pct" w:w="5000"/>
        <w:tblLook w:firstRow="1" w:lastRow="0" w:firstColumn="0" w:lastColumn="0" w:noHBand="0" w:noVBand="0" w:val="0020"/>
        <w:jc w:val="start"/>
      </w:tblPr>
      <w:tblGrid>
        <w:gridCol w:w="2140"/>
        <w:gridCol w:w="5779"/>
      </w:tblGrid>
      <w:tr>
        <w:trPr>
          <w:tblHeader w:val="true"/>
        </w:trPr>
        <w:tc>
          <w:tcPr/>
          <w:p>
            <w:pPr>
              <w:pStyle w:val="Compact"/>
              <w:jc w:val="left"/>
            </w:pPr>
            <w:r>
              <w:t xml:space="preserve">Standard</w:t>
            </w:r>
          </w:p>
        </w:tc>
        <w:tc>
          <w:tcPr/>
          <w:p>
            <w:pPr>
              <w:pStyle w:val="Compact"/>
              <w:jc w:val="left"/>
            </w:pPr>
            <w:r>
              <w:t xml:space="preserve">How the Plugin Supports It</w:t>
            </w:r>
          </w:p>
        </w:tc>
      </w:tr>
      <w:tr>
        <w:tc>
          <w:tcPr/>
          <w:p>
            <w:pPr>
              <w:pStyle w:val="Compact"/>
              <w:jc w:val="left"/>
            </w:pPr>
            <w:r>
              <w:rPr>
                <w:bCs/>
                <w:b/>
              </w:rPr>
              <w:t xml:space="preserve">OAIS</w:t>
            </w:r>
            <w:r>
              <w:t xml:space="preserve"> </w:t>
            </w:r>
            <w:r>
              <w:t xml:space="preserve">(ISO 14721)</w:t>
            </w:r>
          </w:p>
        </w:tc>
        <w:tc>
          <w:tcPr/>
          <w:p>
            <w:pPr>
              <w:pStyle w:val="Compact"/>
              <w:jc w:val="left"/>
            </w:pPr>
            <w:r>
              <w:t xml:space="preserve">Fixity Information element of the Archival Information Package</w:t>
            </w:r>
          </w:p>
        </w:tc>
      </w:tr>
      <w:tr>
        <w:tc>
          <w:tcPr/>
          <w:p>
            <w:pPr>
              <w:pStyle w:val="Compact"/>
              <w:jc w:val="left"/>
            </w:pPr>
            <w:r>
              <w:rPr>
                <w:bCs/>
                <w:b/>
              </w:rPr>
              <w:t xml:space="preserve">PREMIS</w:t>
            </w:r>
          </w:p>
        </w:tc>
        <w:tc>
          <w:tcPr/>
          <w:p>
            <w:pPr>
              <w:pStyle w:val="Compact"/>
              <w:jc w:val="left"/>
            </w:pPr>
            <w:r>
              <w:t xml:space="preserve">Logs fixity check events compatible with PREMIS event vocabulary</w:t>
            </w:r>
          </w:p>
        </w:tc>
      </w:tr>
      <w:tr>
        <w:tc>
          <w:tcPr/>
          <w:p>
            <w:pPr>
              <w:pStyle w:val="Compact"/>
              <w:jc w:val="left"/>
            </w:pPr>
            <w:r>
              <w:rPr>
                <w:bCs/>
                <w:b/>
              </w:rPr>
              <w:t xml:space="preserve">NDSA Levels of Preservation</w:t>
            </w:r>
          </w:p>
        </w:tc>
        <w:tc>
          <w:tcPr/>
          <w:p>
            <w:pPr>
              <w:pStyle w:val="Compact"/>
              <w:jc w:val="left"/>
            </w:pPr>
            <w:r>
              <w:t xml:space="preserve">Level 2+ fixity checking with automated scheduling</w:t>
            </w:r>
          </w:p>
        </w:tc>
      </w:tr>
      <w:tr>
        <w:tc>
          <w:tcPr/>
          <w:p>
            <w:pPr>
              <w:pStyle w:val="Compact"/>
              <w:jc w:val="left"/>
            </w:pPr>
            <w:r>
              <w:rPr>
                <w:bCs/>
                <w:b/>
              </w:rPr>
              <w:t xml:space="preserve">NARSSA/NARS</w:t>
            </w:r>
          </w:p>
        </w:tc>
        <w:tc>
          <w:tcPr/>
          <w:p>
            <w:pPr>
              <w:pStyle w:val="Compact"/>
              <w:jc w:val="left"/>
            </w:pPr>
            <w:r>
              <w:t xml:space="preserve">South African national archives compliance for digital records</w:t>
            </w:r>
          </w:p>
        </w:tc>
      </w:tr>
      <w:tr>
        <w:tc>
          <w:tcPr/>
          <w:p>
            <w:pPr>
              <w:pStyle w:val="Compact"/>
              <w:jc w:val="left"/>
            </w:pPr>
            <w:r>
              <w:rPr>
                <w:bCs/>
                <w:b/>
              </w:rPr>
              <w:t xml:space="preserve">ISO 16363</w:t>
            </w:r>
            <w:r>
              <w:t xml:space="preserve"> </w:t>
            </w:r>
            <w:r>
              <w:t xml:space="preserve">(TDR Audit)</w:t>
            </w:r>
          </w:p>
        </w:tc>
        <w:tc>
          <w:tcPr/>
          <w:p>
            <w:pPr>
              <w:pStyle w:val="Compact"/>
              <w:jc w:val="left"/>
            </w:pPr>
            <w:r>
              <w:t xml:space="preserve">Documented integrity checking for Trusted Digital Repository certification</w:t>
            </w:r>
          </w:p>
        </w:tc>
      </w:tr>
      <w:tr>
        <w:tc>
          <w:tcPr/>
          <w:p>
            <w:pPr>
              <w:pStyle w:val="Compact"/>
              <w:jc w:val="left"/>
            </w:pPr>
            <w:r>
              <w:rPr>
                <w:bCs/>
                <w:b/>
              </w:rPr>
              <w:t xml:space="preserve">Records Retention</w:t>
            </w:r>
          </w:p>
        </w:tc>
        <w:tc>
          <w:tcPr/>
          <w:p>
            <w:pPr>
              <w:pStyle w:val="Compact"/>
              <w:jc w:val="left"/>
            </w:pPr>
            <w:r>
              <w:t xml:space="preserve">Configurable retention policies with disposition review queue</w:t>
            </w:r>
          </w:p>
        </w:tc>
      </w:tr>
      <w:tr>
        <w:tc>
          <w:tcPr/>
          <w:p>
            <w:pPr>
              <w:pStyle w:val="Compact"/>
              <w:jc w:val="left"/>
            </w:pPr>
            <w:r>
              <w:rPr>
                <w:bCs/>
                <w:b/>
              </w:rPr>
              <w:t xml:space="preserve">Legal Hold</w:t>
            </w:r>
          </w:p>
        </w:tc>
        <w:tc>
          <w:tcPr/>
          <w:p>
            <w:pPr>
              <w:pStyle w:val="Compact"/>
              <w:jc w:val="left"/>
            </w:pPr>
            <w:r>
              <w:t xml:space="preserve">Litigation hold capability to prevent disposition of records under review</w:t>
            </w:r>
          </w:p>
        </w:tc>
      </w:tr>
    </w:tbl>
    <w:bookmarkEnd w:id="35"/>
    <w:bookmarkStart w:id="36" w:name="technical-requirements"/>
    <w:p>
      <w:pPr>
        <w:pStyle w:val="Heading2"/>
      </w:pPr>
      <w:r>
        <w:t xml:space="preserve">Technical Requirements</w:t>
      </w:r>
    </w:p>
    <w:tbl>
      <w:tblPr>
        <w:tblStyle w:val="Table"/>
        <w:tblW w:type="pct" w:w="5000"/>
        <w:tblLook w:firstRow="1" w:lastRow="0" w:firstColumn="0" w:lastColumn="0" w:noHBand="0" w:noVBand="0" w:val="0020"/>
        <w:jc w:val="start"/>
      </w:tblPr>
      <w:tblGrid>
        <w:gridCol w:w="4680"/>
        <w:gridCol w:w="3240"/>
      </w:tblGrid>
      <w:tr>
        <w:trPr>
          <w:tblHeader w:val="true"/>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Cs/>
                <w:b/>
              </w:rPr>
              <w:t xml:space="preserve">AtoM Heratio</w:t>
            </w:r>
          </w:p>
        </w:tc>
        <w:tc>
          <w:tcPr/>
          <w:p>
            <w:pPr>
              <w:pStyle w:val="Compact"/>
              <w:jc w:val="left"/>
            </w:pPr>
            <w:r>
              <w:t xml:space="preserve">v2.8+ with atom-framework v2.8.0+</w:t>
            </w:r>
          </w:p>
        </w:tc>
      </w:tr>
      <w:tr>
        <w:tc>
          <w:tcPr/>
          <w:p>
            <w:pPr>
              <w:pStyle w:val="Compact"/>
              <w:jc w:val="left"/>
            </w:pPr>
            <w:r>
              <w:rPr>
                <w:bCs/>
                <w:b/>
              </w:rPr>
              <w:t xml:space="preserve">Dependencies</w:t>
            </w:r>
          </w:p>
        </w:tc>
        <w:tc>
          <w:tcPr/>
          <w:p>
            <w:pPr>
              <w:pStyle w:val="Compact"/>
              <w:jc w:val="left"/>
            </w:pPr>
            <w:r>
              <w:t xml:space="preserve">ahgCorePlugin, ahgPreservationPlugin (for baseline checksums)</w:t>
            </w:r>
          </w:p>
        </w:tc>
      </w:tr>
      <w:tr>
        <w:tc>
          <w:tcPr/>
          <w:p>
            <w:pPr>
              <w:pStyle w:val="Compact"/>
              <w:jc w:val="left"/>
            </w:pPr>
            <w:r>
              <w:rPr>
                <w:bCs/>
                <w:b/>
              </w:rPr>
              <w:t xml:space="preserve">PHP</w:t>
            </w:r>
          </w:p>
        </w:tc>
        <w:tc>
          <w:tcPr/>
          <w:p>
            <w:pPr>
              <w:pStyle w:val="Compact"/>
              <w:jc w:val="left"/>
            </w:pPr>
            <w:r>
              <w:t xml:space="preserve">8.1 or higher</w:t>
            </w:r>
          </w:p>
        </w:tc>
      </w:tr>
      <w:tr>
        <w:tc>
          <w:tcPr/>
          <w:p>
            <w:pPr>
              <w:pStyle w:val="Compact"/>
              <w:jc w:val="left"/>
            </w:pPr>
            <w:r>
              <w:rPr>
                <w:bCs/>
                <w:b/>
              </w:rPr>
              <w:t xml:space="preserve">Database</w:t>
            </w:r>
          </w:p>
        </w:tc>
        <w:tc>
          <w:tcPr/>
          <w:p>
            <w:pPr>
              <w:pStyle w:val="Compact"/>
              <w:jc w:val="left"/>
            </w:pPr>
            <w:r>
              <w:t xml:space="preserve">MySQL 8.0+ (8 tables)</w:t>
            </w:r>
          </w:p>
        </w:tc>
      </w:tr>
      <w:tr>
        <w:tc>
          <w:tcPr/>
          <w:p>
            <w:pPr>
              <w:pStyle w:val="Compact"/>
              <w:jc w:val="left"/>
            </w:pPr>
            <w:r>
              <w:rPr>
                <w:bCs/>
                <w:b/>
              </w:rPr>
              <w:t xml:space="preserve">Hash Algorithms</w:t>
            </w:r>
          </w:p>
        </w:tc>
        <w:tc>
          <w:tcPr/>
          <w:p>
            <w:pPr>
              <w:pStyle w:val="Compact"/>
              <w:jc w:val="left"/>
            </w:pPr>
            <w:r>
              <w:t xml:space="preserve">SHA-256 (default), SHA-512</w:t>
            </w:r>
          </w:p>
        </w:tc>
      </w:tr>
      <w:tr>
        <w:tc>
          <w:tcPr/>
          <w:p>
            <w:pPr>
              <w:pStyle w:val="Compact"/>
              <w:jc w:val="left"/>
            </w:pPr>
            <w:r>
              <w:rPr>
                <w:bCs/>
                <w:b/>
              </w:rPr>
              <w:t xml:space="preserve">Storage</w:t>
            </w:r>
          </w:p>
        </w:tc>
        <w:tc>
          <w:tcPr/>
          <w:p>
            <w:pPr>
              <w:pStyle w:val="Compact"/>
              <w:jc w:val="left"/>
            </w:pPr>
            <w:r>
              <w:t xml:space="preserve">Read access to all digital object storage paths</w:t>
            </w:r>
          </w:p>
        </w:tc>
      </w:tr>
    </w:tbl>
    <w:bookmarkEnd w:id="36"/>
    <w:bookmarkStart w:id="37" w:name="database-tables"/>
    <w:p>
      <w:pPr>
        <w:pStyle w:val="Heading2"/>
      </w:pPr>
      <w:r>
        <w:t xml:space="preserve">Database Tables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Table</w:t>
            </w:r>
          </w:p>
        </w:tc>
        <w:tc>
          <w:tcPr/>
          <w:p>
            <w:pPr>
              <w:pStyle w:val="Compact"/>
              <w:jc w:val="left"/>
            </w:pPr>
            <w:r>
              <w:t xml:space="preserve">Purpose</w:t>
            </w:r>
          </w:p>
        </w:tc>
      </w:tr>
      <w:tr>
        <w:tc>
          <w:tcPr/>
          <w:p>
            <w:pPr>
              <w:pStyle w:val="Compact"/>
              <w:jc w:val="left"/>
            </w:pPr>
            <w:r>
              <w:rPr>
                <w:rStyle w:val="VerbatimChar"/>
              </w:rPr>
              <w:t xml:space="preserve">integrity_schedule</w:t>
            </w:r>
          </w:p>
        </w:tc>
        <w:tc>
          <w:tcPr/>
          <w:p>
            <w:pPr>
              <w:pStyle w:val="Compact"/>
              <w:jc w:val="left"/>
            </w:pPr>
            <w:r>
              <w:t xml:space="preserve">Verification schedule definitions with concurrency controls</w:t>
            </w:r>
          </w:p>
        </w:tc>
      </w:tr>
      <w:tr>
        <w:tc>
          <w:tcPr/>
          <w:p>
            <w:pPr>
              <w:pStyle w:val="Compact"/>
              <w:jc w:val="left"/>
            </w:pPr>
            <w:r>
              <w:rPr>
                <w:rStyle w:val="VerbatimChar"/>
              </w:rPr>
              <w:t xml:space="preserve">integrity_run</w:t>
            </w:r>
          </w:p>
        </w:tc>
        <w:tc>
          <w:tcPr/>
          <w:p>
            <w:pPr>
              <w:pStyle w:val="Compact"/>
              <w:jc w:val="left"/>
            </w:pPr>
            <w:r>
              <w:t xml:space="preserve">Execution records with counters and status</w:t>
            </w:r>
          </w:p>
        </w:tc>
      </w:tr>
      <w:tr>
        <w:tc>
          <w:tcPr/>
          <w:p>
            <w:pPr>
              <w:pStyle w:val="Compact"/>
              <w:jc w:val="left"/>
            </w:pPr>
            <w:r>
              <w:rPr>
                <w:rStyle w:val="VerbatimChar"/>
              </w:rPr>
              <w:t xml:space="preserve">integrity_ledger</w:t>
            </w:r>
          </w:p>
        </w:tc>
        <w:tc>
          <w:tcPr/>
          <w:p>
            <w:pPr>
              <w:pStyle w:val="Compact"/>
              <w:jc w:val="left"/>
            </w:pPr>
            <w:r>
              <w:t xml:space="preserve">Append-only verification audit trail with actor/hostname tracking</w:t>
            </w:r>
          </w:p>
        </w:tc>
      </w:tr>
      <w:tr>
        <w:tc>
          <w:tcPr/>
          <w:p>
            <w:pPr>
              <w:pStyle w:val="Compact"/>
              <w:jc w:val="left"/>
            </w:pPr>
            <w:r>
              <w:rPr>
                <w:rStyle w:val="VerbatimChar"/>
              </w:rPr>
              <w:t xml:space="preserve">integrity_dead_letter</w:t>
            </w:r>
          </w:p>
        </w:tc>
        <w:tc>
          <w:tcPr/>
          <w:p>
            <w:pPr>
              <w:pStyle w:val="Compact"/>
              <w:jc w:val="left"/>
            </w:pPr>
            <w:r>
              <w:t xml:space="preserve">Persistent failure queue with workflow states</w:t>
            </w:r>
          </w:p>
        </w:tc>
      </w:tr>
      <w:tr>
        <w:tc>
          <w:tcPr/>
          <w:p>
            <w:pPr>
              <w:pStyle w:val="Compact"/>
              <w:jc w:val="left"/>
            </w:pPr>
            <w:r>
              <w:rPr>
                <w:rStyle w:val="VerbatimChar"/>
              </w:rPr>
              <w:t xml:space="preserve">integrity_retention_policy</w:t>
            </w:r>
          </w:p>
        </w:tc>
        <w:tc>
          <w:tcPr/>
          <w:p>
            <w:pPr>
              <w:pStyle w:val="Compact"/>
              <w:jc w:val="left"/>
            </w:pPr>
            <w:r>
              <w:t xml:space="preserve">Retention period definitions and scope rules</w:t>
            </w:r>
          </w:p>
        </w:tc>
      </w:tr>
      <w:tr>
        <w:tc>
          <w:tcPr/>
          <w:p>
            <w:pPr>
              <w:pStyle w:val="Compact"/>
              <w:jc w:val="left"/>
            </w:pPr>
            <w:r>
              <w:rPr>
                <w:rStyle w:val="VerbatimChar"/>
              </w:rPr>
              <w:t xml:space="preserve">integrity_legal_hold</w:t>
            </w:r>
          </w:p>
        </w:tc>
        <w:tc>
          <w:tcPr/>
          <w:p>
            <w:pPr>
              <w:pStyle w:val="Compact"/>
              <w:jc w:val="left"/>
            </w:pPr>
            <w:r>
              <w:t xml:space="preserve">Legal holds blocking disposition</w:t>
            </w:r>
          </w:p>
        </w:tc>
      </w:tr>
      <w:tr>
        <w:tc>
          <w:tcPr/>
          <w:p>
            <w:pPr>
              <w:pStyle w:val="Compact"/>
              <w:jc w:val="left"/>
            </w:pPr>
            <w:r>
              <w:rPr>
                <w:rStyle w:val="VerbatimChar"/>
              </w:rPr>
              <w:t xml:space="preserve">integrity_disposition_queue</w:t>
            </w:r>
          </w:p>
        </w:tc>
        <w:tc>
          <w:tcPr/>
          <w:p>
            <w:pPr>
              <w:pStyle w:val="Compact"/>
              <w:jc w:val="left"/>
            </w:pPr>
            <w:r>
              <w:t xml:space="preserve">Disposition review queue</w:t>
            </w:r>
          </w:p>
        </w:tc>
      </w:tr>
      <w:tr>
        <w:tc>
          <w:tcPr/>
          <w:p>
            <w:pPr>
              <w:pStyle w:val="Compact"/>
              <w:jc w:val="left"/>
            </w:pPr>
            <w:r>
              <w:rPr>
                <w:rStyle w:val="VerbatimChar"/>
              </w:rPr>
              <w:t xml:space="preserve">integrity_alert_config</w:t>
            </w:r>
          </w:p>
        </w:tc>
        <w:tc>
          <w:tcPr/>
          <w:p>
            <w:pPr>
              <w:pStyle w:val="Compact"/>
              <w:jc w:val="left"/>
            </w:pPr>
            <w:r>
              <w:t xml:space="preserve">Threshold-based alert configuration</w:t>
            </w:r>
          </w:p>
        </w:tc>
      </w:tr>
    </w:tbl>
    <w:bookmarkEnd w:id="37"/>
    <w:bookmarkStart w:id="38" w:name="recommended-cron-configuration"/>
    <w:p>
      <w:pPr>
        <w:pStyle w:val="Heading2"/>
      </w:pPr>
      <w:r>
        <w:t xml:space="preserve">Recommended Cron Configuration</w:t>
      </w:r>
    </w:p>
    <w:p>
      <w:pPr>
        <w:pStyle w:val="SourceCode"/>
      </w:pPr>
      <w:r>
        <w:rPr>
          <w:rStyle w:val="VerbatimChar"/>
        </w:rPr>
        <w:t xml:space="preserve"># Run due integrity schedules every 15 minutes</w:t>
      </w:r>
      <w:r>
        <w:br/>
      </w:r>
      <w:r>
        <w:rPr>
          <w:rStyle w:val="VerbatimChar"/>
        </w:rPr>
        <w:t xml:space="preserve">*/15 * * * * cd /usr/share/nginx/archive &amp;&amp; php symfony integrity:schedule --run-due &gt;&gt; /var/log/atom/integrity-scheduler.log 2&gt;&amp;1</w:t>
      </w:r>
      <w:r>
        <w:br/>
      </w:r>
      <w:r>
        <w:br/>
      </w:r>
      <w:r>
        <w:rPr>
          <w:rStyle w:val="VerbatimChar"/>
        </w:rPr>
        <w:t xml:space="preserve"># Scan for retention-eligible objects daily at 1am</w:t>
      </w:r>
      <w:r>
        <w:br/>
      </w:r>
      <w:r>
        <w:rPr>
          <w:rStyle w:val="VerbatimChar"/>
        </w:rPr>
        <w:t xml:space="preserve">0 1 * * * cd /usr/share/nginx/archive &amp;&amp; php symfony integrity:retention --scan-eligible &gt;&gt; /var/log/atom/integrity-retention.log 2&gt;&amp;1</w:t>
      </w:r>
      <w:r>
        <w:br/>
      </w:r>
      <w:r>
        <w:br/>
      </w:r>
      <w:r>
        <w:rPr>
          <w:rStyle w:val="VerbatimChar"/>
        </w:rPr>
        <w:t xml:space="preserve"># Weekly integrity summary report (Monday 8am)</w:t>
      </w:r>
      <w:r>
        <w:br/>
      </w:r>
      <w:r>
        <w:rPr>
          <w:rStyle w:val="VerbatimChar"/>
        </w:rPr>
        <w:t xml:space="preserve">0 8 * * 1 cd /usr/share/nginx/archive &amp;&amp; php symfony integrity:report --summary &gt;&gt; /var/log/atom/integrity-report.log 2&gt;&amp;1</w:t>
      </w:r>
    </w:p>
    <w:bookmarkEnd w:id="38"/>
    <w:bookmarkStart w:id="39" w:name="web-interface"/>
    <w:p>
      <w:pPr>
        <w:pStyle w:val="Heading2"/>
      </w:pPr>
      <w:r>
        <w:t xml:space="preserve">Web Interface</w:t>
      </w:r>
    </w:p>
    <w:p>
      <w:pPr>
        <w:pStyle w:val="FirstParagraph"/>
      </w:pPr>
      <w:r>
        <w:t xml:space="preserve">Accessible at</w:t>
      </w:r>
      <w:r>
        <w:t xml:space="preserve"> </w:t>
      </w:r>
      <w:r>
        <w:rPr>
          <w:bCs/>
          <w:b/>
        </w:rPr>
        <w:t xml:space="preserve">Admin &gt; Integrity</w:t>
      </w:r>
      <w:r>
        <w:t xml:space="preserve"> </w:t>
      </w:r>
      <w:r>
        <w:t xml:space="preserve">(requires administrator permissions):</w:t>
      </w:r>
    </w:p>
    <w:tbl>
      <w:tblPr>
        <w:tblStyle w:val="Table"/>
        <w:tblW w:type="pct" w:w="5000"/>
        <w:tblLook w:firstRow="1" w:lastRow="0" w:firstColumn="0" w:lastColumn="0" w:noHBand="0" w:noVBand="0" w:val="0020"/>
        <w:jc w:val="start"/>
      </w:tblPr>
      <w:tblGrid>
        <w:gridCol w:w="1980"/>
        <w:gridCol w:w="1650"/>
        <w:gridCol w:w="4290"/>
      </w:tblGrid>
      <w:tr>
        <w:trPr>
          <w:tblHeader w:val="true"/>
        </w:trPr>
        <w:tc>
          <w:tcPr/>
          <w:p>
            <w:pPr>
              <w:pStyle w:val="Compact"/>
              <w:jc w:val="left"/>
            </w:pPr>
            <w:r>
              <w:t xml:space="preserve">Page</w:t>
            </w:r>
          </w:p>
        </w:tc>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Dashboard</w:t>
            </w:r>
          </w:p>
        </w:tc>
        <w:tc>
          <w:tcPr/>
          <w:p>
            <w:pPr>
              <w:pStyle w:val="Compact"/>
              <w:jc w:val="left"/>
            </w:pPr>
            <w:r>
              <w:rPr>
                <w:rStyle w:val="VerbatimChar"/>
              </w:rPr>
              <w:t xml:space="preserve">/admin/integrity</w:t>
            </w:r>
          </w:p>
        </w:tc>
        <w:tc>
          <w:tcPr/>
          <w:p>
            <w:pPr>
              <w:pStyle w:val="Compact"/>
              <w:jc w:val="left"/>
            </w:pPr>
            <w:r>
              <w:t xml:space="preserve">Statistics, health overview, trend chart, breakdowns</w:t>
            </w:r>
          </w:p>
        </w:tc>
      </w:tr>
      <w:tr>
        <w:tc>
          <w:tcPr/>
          <w:p>
            <w:pPr>
              <w:pStyle w:val="Compact"/>
              <w:jc w:val="left"/>
            </w:pPr>
            <w:r>
              <w:t xml:space="preserve">Schedules</w:t>
            </w:r>
          </w:p>
        </w:tc>
        <w:tc>
          <w:tcPr/>
          <w:p>
            <w:pPr>
              <w:pStyle w:val="Compact"/>
              <w:jc w:val="left"/>
            </w:pPr>
            <w:r>
              <w:rPr>
                <w:rStyle w:val="VerbatimChar"/>
              </w:rPr>
              <w:t xml:space="preserve">/admin/integrity/schedules</w:t>
            </w:r>
          </w:p>
        </w:tc>
        <w:tc>
          <w:tcPr/>
          <w:p>
            <w:pPr>
              <w:pStyle w:val="Compact"/>
              <w:jc w:val="left"/>
            </w:pPr>
            <w:r>
              <w:t xml:space="preserve">Manage verification schedules</w:t>
            </w:r>
          </w:p>
        </w:tc>
      </w:tr>
      <w:tr>
        <w:tc>
          <w:tcPr/>
          <w:p>
            <w:pPr>
              <w:pStyle w:val="Compact"/>
              <w:jc w:val="left"/>
            </w:pPr>
            <w:r>
              <w:t xml:space="preserve">Runs</w:t>
            </w:r>
          </w:p>
        </w:tc>
        <w:tc>
          <w:tcPr/>
          <w:p>
            <w:pPr>
              <w:pStyle w:val="Compact"/>
              <w:jc w:val="left"/>
            </w:pPr>
            <w:r>
              <w:rPr>
                <w:rStyle w:val="VerbatimChar"/>
              </w:rPr>
              <w:t xml:space="preserve">/admin/integrity/runs</w:t>
            </w:r>
          </w:p>
        </w:tc>
        <w:tc>
          <w:tcPr/>
          <w:p>
            <w:pPr>
              <w:pStyle w:val="Compact"/>
              <w:jc w:val="left"/>
            </w:pPr>
            <w:r>
              <w:t xml:space="preserve">Run history with filtering</w:t>
            </w:r>
          </w:p>
        </w:tc>
      </w:tr>
      <w:tr>
        <w:tc>
          <w:tcPr/>
          <w:p>
            <w:pPr>
              <w:pStyle w:val="Compact"/>
              <w:jc w:val="left"/>
            </w:pPr>
            <w:r>
              <w:t xml:space="preserve">Ledger</w:t>
            </w:r>
          </w:p>
        </w:tc>
        <w:tc>
          <w:tcPr/>
          <w:p>
            <w:pPr>
              <w:pStyle w:val="Compact"/>
              <w:jc w:val="left"/>
            </w:pPr>
            <w:r>
              <w:rPr>
                <w:rStyle w:val="VerbatimChar"/>
              </w:rPr>
              <w:t xml:space="preserve">/admin/integrity/ledger</w:t>
            </w:r>
          </w:p>
        </w:tc>
        <w:tc>
          <w:tcPr/>
          <w:p>
            <w:pPr>
              <w:pStyle w:val="Compact"/>
              <w:jc w:val="left"/>
            </w:pPr>
            <w:r>
              <w:t xml:space="preserve">Browse append-only verification ledger</w:t>
            </w:r>
          </w:p>
        </w:tc>
      </w:tr>
      <w:tr>
        <w:tc>
          <w:tcPr/>
          <w:p>
            <w:pPr>
              <w:pStyle w:val="Compact"/>
              <w:jc w:val="left"/>
            </w:pPr>
            <w:r>
              <w:t xml:space="preserve">Dead Letter</w:t>
            </w:r>
          </w:p>
        </w:tc>
        <w:tc>
          <w:tcPr/>
          <w:p>
            <w:pPr>
              <w:pStyle w:val="Compact"/>
              <w:jc w:val="left"/>
            </w:pPr>
            <w:r>
              <w:rPr>
                <w:rStyle w:val="VerbatimChar"/>
              </w:rPr>
              <w:t xml:space="preserve">/admin/integrity/dead-letter</w:t>
            </w:r>
          </w:p>
        </w:tc>
        <w:tc>
          <w:tcPr/>
          <w:p>
            <w:pPr>
              <w:pStyle w:val="Compact"/>
              <w:jc w:val="left"/>
            </w:pPr>
            <w:r>
              <w:t xml:space="preserve">Manage persistent failures</w:t>
            </w:r>
          </w:p>
        </w:tc>
      </w:tr>
      <w:tr>
        <w:tc>
          <w:tcPr/>
          <w:p>
            <w:pPr>
              <w:pStyle w:val="Compact"/>
              <w:jc w:val="left"/>
            </w:pPr>
            <w:r>
              <w:t xml:space="preserve">Report</w:t>
            </w:r>
          </w:p>
        </w:tc>
        <w:tc>
          <w:tcPr/>
          <w:p>
            <w:pPr>
              <w:pStyle w:val="Compact"/>
              <w:jc w:val="left"/>
            </w:pPr>
            <w:r>
              <w:rPr>
                <w:rStyle w:val="VerbatimChar"/>
              </w:rPr>
              <w:t xml:space="preserve">/admin/integrity/report</w:t>
            </w:r>
          </w:p>
        </w:tc>
        <w:tc>
          <w:tcPr/>
          <w:p>
            <w:pPr>
              <w:pStyle w:val="Compact"/>
              <w:jc w:val="left"/>
            </w:pPr>
            <w:r>
              <w:t xml:space="preserve">Visual report with trends</w:t>
            </w:r>
          </w:p>
        </w:tc>
      </w:tr>
      <w:tr>
        <w:tc>
          <w:tcPr/>
          <w:p>
            <w:pPr>
              <w:pStyle w:val="Compact"/>
              <w:jc w:val="left"/>
            </w:pPr>
            <w:r>
              <w:t xml:space="preserve">Export</w:t>
            </w:r>
          </w:p>
        </w:tc>
        <w:tc>
          <w:tcPr/>
          <w:p>
            <w:pPr>
              <w:pStyle w:val="Compact"/>
              <w:jc w:val="left"/>
            </w:pPr>
            <w:r>
              <w:rPr>
                <w:rStyle w:val="VerbatimChar"/>
              </w:rPr>
              <w:t xml:space="preserve">/admin/integrity/export</w:t>
            </w:r>
          </w:p>
        </w:tc>
        <w:tc>
          <w:tcPr/>
          <w:p>
            <w:pPr>
              <w:pStyle w:val="Compact"/>
              <w:jc w:val="left"/>
            </w:pPr>
            <w:r>
              <w:t xml:space="preserve">CSV export and Auditor Pack download</w:t>
            </w:r>
          </w:p>
        </w:tc>
      </w:tr>
      <w:tr>
        <w:tc>
          <w:tcPr/>
          <w:p>
            <w:pPr>
              <w:pStyle w:val="Compact"/>
              <w:jc w:val="left"/>
            </w:pPr>
            <w:r>
              <w:t xml:space="preserve">Policies</w:t>
            </w:r>
          </w:p>
        </w:tc>
        <w:tc>
          <w:tcPr/>
          <w:p>
            <w:pPr>
              <w:pStyle w:val="Compact"/>
              <w:jc w:val="left"/>
            </w:pPr>
            <w:r>
              <w:rPr>
                <w:rStyle w:val="VerbatimChar"/>
              </w:rPr>
              <w:t xml:space="preserve">/admin/integrity/policies</w:t>
            </w:r>
          </w:p>
        </w:tc>
        <w:tc>
          <w:tcPr/>
          <w:p>
            <w:pPr>
              <w:pStyle w:val="Compact"/>
              <w:jc w:val="left"/>
            </w:pPr>
            <w:r>
              <w:t xml:space="preserve">Retention policy management</w:t>
            </w:r>
          </w:p>
        </w:tc>
      </w:tr>
      <w:tr>
        <w:tc>
          <w:tcPr/>
          <w:p>
            <w:pPr>
              <w:pStyle w:val="Compact"/>
              <w:jc w:val="left"/>
            </w:pPr>
            <w:r>
              <w:t xml:space="preserve">Holds</w:t>
            </w:r>
          </w:p>
        </w:tc>
        <w:tc>
          <w:tcPr/>
          <w:p>
            <w:pPr>
              <w:pStyle w:val="Compact"/>
              <w:jc w:val="left"/>
            </w:pPr>
            <w:r>
              <w:rPr>
                <w:rStyle w:val="VerbatimChar"/>
              </w:rPr>
              <w:t xml:space="preserve">/admin/integrity/holds</w:t>
            </w:r>
          </w:p>
        </w:tc>
        <w:tc>
          <w:tcPr/>
          <w:p>
            <w:pPr>
              <w:pStyle w:val="Compact"/>
              <w:jc w:val="left"/>
            </w:pPr>
            <w:r>
              <w:t xml:space="preserve">Legal hold management</w:t>
            </w:r>
          </w:p>
        </w:tc>
      </w:tr>
      <w:tr>
        <w:tc>
          <w:tcPr/>
          <w:p>
            <w:pPr>
              <w:pStyle w:val="Compact"/>
              <w:jc w:val="left"/>
            </w:pPr>
            <w:r>
              <w:t xml:space="preserve">Disposition</w:t>
            </w:r>
          </w:p>
        </w:tc>
        <w:tc>
          <w:tcPr/>
          <w:p>
            <w:pPr>
              <w:pStyle w:val="Compact"/>
              <w:jc w:val="left"/>
            </w:pPr>
            <w:r>
              <w:rPr>
                <w:rStyle w:val="VerbatimChar"/>
              </w:rPr>
              <w:t xml:space="preserve">/admin/integrity/disposition</w:t>
            </w:r>
          </w:p>
        </w:tc>
        <w:tc>
          <w:tcPr/>
          <w:p>
            <w:pPr>
              <w:pStyle w:val="Compact"/>
              <w:jc w:val="left"/>
            </w:pPr>
            <w:r>
              <w:t xml:space="preserve">Disposition review queue</w:t>
            </w:r>
          </w:p>
        </w:tc>
      </w:tr>
      <w:tr>
        <w:tc>
          <w:tcPr/>
          <w:p>
            <w:pPr>
              <w:pStyle w:val="Compact"/>
              <w:jc w:val="left"/>
            </w:pPr>
            <w:r>
              <w:t xml:space="preserve">Alerts</w:t>
            </w:r>
          </w:p>
        </w:tc>
        <w:tc>
          <w:tcPr/>
          <w:p>
            <w:pPr>
              <w:pStyle w:val="Compact"/>
              <w:jc w:val="left"/>
            </w:pPr>
            <w:r>
              <w:rPr>
                <w:rStyle w:val="VerbatimChar"/>
              </w:rPr>
              <w:t xml:space="preserve">/admin/integrity/alerts</w:t>
            </w:r>
          </w:p>
        </w:tc>
        <w:tc>
          <w:tcPr/>
          <w:p>
            <w:pPr>
              <w:pStyle w:val="Compact"/>
              <w:jc w:val="left"/>
            </w:pPr>
            <w:r>
              <w:t xml:space="preserve">Threshold-based alert configuration</w:t>
            </w:r>
          </w:p>
        </w:tc>
      </w:tr>
    </w:tbl>
    <w:bookmarkEnd w:id="39"/>
    <w:bookmarkStart w:id="40" w:name="installation"/>
    <w:p>
      <w:pPr>
        <w:pStyle w:val="Heading2"/>
      </w:pPr>
      <w:r>
        <w:t xml:space="preserve">Installation</w:t>
      </w:r>
    </w:p>
    <w:p>
      <w:pPr>
        <w:pStyle w:val="SourceCode"/>
      </w:pPr>
      <w:r>
        <w:rPr>
          <w:rStyle w:val="CommentTok"/>
        </w:rPr>
        <w:t xml:space="preserve"># 1. Run database migration</w:t>
      </w:r>
      <w:r>
        <w:br/>
      </w:r>
      <w:r>
        <w:rPr>
          <w:rStyle w:val="ExtensionTok"/>
        </w:rPr>
        <w:t xml:space="preserve">mysql</w:t>
      </w:r>
      <w:r>
        <w:rPr>
          <w:rStyle w:val="NormalTok"/>
        </w:rPr>
        <w:t xml:space="preserve"> </w:t>
      </w:r>
      <w:r>
        <w:rPr>
          <w:rStyle w:val="AttributeTok"/>
        </w:rPr>
        <w:t xml:space="preserve">-u</w:t>
      </w:r>
      <w:r>
        <w:rPr>
          <w:rStyle w:val="NormalTok"/>
        </w:rPr>
        <w:t xml:space="preserve"> root archive </w:t>
      </w:r>
      <w:r>
        <w:rPr>
          <w:rStyle w:val="OperatorTok"/>
        </w:rPr>
        <w:t xml:space="preserve">&lt;</w:t>
      </w:r>
      <w:r>
        <w:rPr>
          <w:rStyle w:val="NormalTok"/>
        </w:rPr>
        <w:t xml:space="preserve"> atom-ahg-plugins/ahgIntegrityPlugin/database/install.sql</w:t>
      </w:r>
      <w:r>
        <w:br/>
      </w:r>
      <w:r>
        <w:br/>
      </w:r>
      <w:r>
        <w:rPr>
          <w:rStyle w:val="CommentTok"/>
        </w:rPr>
        <w:t xml:space="preserve"># 2. Enable the plugin</w:t>
      </w:r>
      <w:r>
        <w:br/>
      </w:r>
      <w:r>
        <w:rPr>
          <w:rStyle w:val="ExtensionTok"/>
        </w:rPr>
        <w:t xml:space="preserve">php</w:t>
      </w:r>
      <w:r>
        <w:rPr>
          <w:rStyle w:val="NormalTok"/>
        </w:rPr>
        <w:t xml:space="preserve"> bin/atom extension:enable ahgIntegrityPlugin</w:t>
      </w:r>
      <w:r>
        <w:br/>
      </w:r>
      <w:r>
        <w:br/>
      </w:r>
      <w:r>
        <w:rPr>
          <w:rStyle w:val="CommentTok"/>
        </w:rPr>
        <w:t xml:space="preserve"># 3. Clear cache</w:t>
      </w:r>
      <w:r>
        <w:br/>
      </w:r>
      <w:r>
        <w:rPr>
          <w:rStyle w:val="ExtensionTok"/>
        </w:rPr>
        <w:t xml:space="preserve">php</w:t>
      </w:r>
      <w:r>
        <w:rPr>
          <w:rStyle w:val="NormalTok"/>
        </w:rPr>
        <w:t xml:space="preserve"> symfony cc</w:t>
      </w:r>
      <w:r>
        <w:br/>
      </w:r>
      <w:r>
        <w:br/>
      </w:r>
      <w:r>
        <w:rPr>
          <w:rStyle w:val="CommentTok"/>
        </w:rPr>
        <w:t xml:space="preserve"># 4. Run schema migration (adds actor/hostname columns if upgrading from v1.0.0)</w:t>
      </w:r>
      <w:r>
        <w:br/>
      </w:r>
      <w:r>
        <w:rPr>
          <w:rStyle w:val="ExtensionTok"/>
        </w:rPr>
        <w:t xml:space="preserve">php</w:t>
      </w:r>
      <w:r>
        <w:rPr>
          <w:rStyle w:val="NormalTok"/>
        </w:rPr>
        <w:t xml:space="preserve"> symfony integrity:verify </w:t>
      </w:r>
      <w:r>
        <w:rPr>
          <w:rStyle w:val="AttributeTok"/>
        </w:rPr>
        <w:t xml:space="preserve">--status</w:t>
      </w:r>
      <w:r>
        <w:br/>
      </w:r>
      <w:r>
        <w:br/>
      </w:r>
      <w:r>
        <w:rPr>
          <w:rStyle w:val="CommentTok"/>
        </w:rPr>
        <w:t xml:space="preserve"># 5. Verify installation</w:t>
      </w:r>
      <w:r>
        <w:br/>
      </w:r>
      <w:r>
        <w:rPr>
          <w:rStyle w:val="ExtensionTok"/>
        </w:rPr>
        <w:t xml:space="preserve">php</w:t>
      </w:r>
      <w:r>
        <w:rPr>
          <w:rStyle w:val="NormalTok"/>
        </w:rPr>
        <w:t xml:space="preserve"> symfony integrity:retention </w:t>
      </w:r>
      <w:r>
        <w:rPr>
          <w:rStyle w:val="AttributeTok"/>
        </w:rPr>
        <w:t xml:space="preserve">--status</w:t>
      </w:r>
    </w:p>
    <w:p>
      <w:r>
        <w:pict>
          <v:rect style="width:0;height:1.5pt" o:hralign="center" o:hrstd="t" o:hr="t"/>
        </w:pict>
      </w:r>
    </w:p>
    <w:p>
      <w:pPr>
        <w:pStyle w:val="FirstParagraph"/>
      </w:pPr>
      <w:r>
        <w:rPr>
          <w:iCs/>
          <w:i/>
        </w:rPr>
        <w:t xml:space="preserve">AtoM Heratio is developed by The Archive and Heritage Group (Pty) Ltd for the international GLAM and DAM community.</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Integrity Assurance Plugin Feature Overview</dc:title>
  <dc:creator>The Archive and Heritage Group (Pty) Ltd</dc:creator>
  <cp:keywords/>
  <dcterms:created xsi:type="dcterms:W3CDTF">2026-02-28T14:29:50Z</dcterms:created>
  <dcterms:modified xsi:type="dcterms:W3CDTF">2026-02-28T14:29:50Z</dcterms:modified>
</cp:coreProperties>
</file>

<file path=docProps/custom.xml><?xml version="1.0" encoding="utf-8"?>
<Properties xmlns="http://schemas.openxmlformats.org/officeDocument/2006/custom-properties" xmlns:vt="http://schemas.openxmlformats.org/officeDocument/2006/docPropsVTypes"/>
</file>