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AtoM Heratio — IIIF AI Extraction Feature Overview</w:t>
      </w:r>
    </w:p>
    <w:p>
      <w:pPr>
        <w:pStyle w:val="Author"/>
      </w:pPr>
      <w:r>
        <w:t xml:space="preserve">The Archive and Heritage Group (Pty) Ltd</w:t>
      </w:r>
    </w:p>
    <w:bookmarkStart w:id="36" w:name="atom-heratio-iiif-ai-extraction"/>
    <w:p>
      <w:pPr>
        <w:pStyle w:val="Heading1"/>
      </w:pPr>
      <w:r>
        <w:t xml:space="preserve">AtoM Heratio — IIIF AI Extraction</w:t>
      </w:r>
    </w:p>
    <w:bookmarkStart w:id="20" w:name="feature-overview"/>
    <w:p>
      <w:pPr>
        <w:pStyle w:val="Heading2"/>
      </w:pPr>
      <w:r>
        <w:t xml:space="preserve">Feature Overview</w:t>
      </w:r>
    </w:p>
    <w:p>
      <w:pPr>
        <w:pStyle w:val="FirstParagraph"/>
      </w:pPr>
      <w:r>
        <w:rPr>
          <w:bCs/>
          <w:b/>
        </w:rPr>
        <w:t xml:space="preserve">Component:</w:t>
      </w:r>
      <w:r>
        <w:t xml:space="preserve"> </w:t>
      </w:r>
      <w:r>
        <w:t xml:space="preserve">IiifAiService (ahgAIPlugin)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t xml:space="preserve">2.8.2</w:t>
      </w:r>
      <w:r>
        <w:t xml:space="preserve"> </w:t>
      </w:r>
      <w:r>
        <w:rPr>
          <w:bCs/>
          <w:b/>
        </w:rPr>
        <w:t xml:space="preserve">Category:</w:t>
      </w:r>
      <w:r>
        <w:t xml:space="preserve"> </w:t>
      </w:r>
      <w:r>
        <w:t xml:space="preserve">AI &amp; Automation / Digital Preservation</w:t>
      </w:r>
      <w:r>
        <w:t xml:space="preserve"> </w:t>
      </w:r>
      <w:r>
        <w:rPr>
          <w:bCs/>
          <w:b/>
        </w:rPr>
        <w:t xml:space="preserve">Publisher:</w:t>
      </w:r>
      <w:r>
        <w:t xml:space="preserve"> </w:t>
      </w:r>
      <w:r>
        <w:t xml:space="preserve">The Archive and Heritage Group (Pty) Ltd</w:t>
      </w:r>
    </w:p>
    <w:p>
      <w:r>
        <w:pict>
          <v:rect style="width:0;height:1.5pt" o:hralign="center" o:hrstd="t" o:hr="t"/>
        </w:pict>
      </w:r>
    </w:p>
    <w:bookmarkEnd w:id="20"/>
    <w:bookmarkStart w:id="21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The IIIF AI Extraction module bridges the IIIF Viewer plugin (ahgIiifPlugin) with the AI Services plugin (ahgAIPlugin), enabling automated metadata extraction from digitized archival images. It provides a unified pipeline that orchestrates OCR, Named Entity Recognition (NER), translation, summarization, and face detection against IIIF-served images via an external AI server.</w:t>
      </w:r>
    </w:p>
    <w:bookmarkEnd w:id="21"/>
    <w:bookmarkStart w:id="27" w:name="key-features"/>
    <w:p>
      <w:pPr>
        <w:pStyle w:val="Heading2"/>
      </w:pPr>
      <w:r>
        <w:t xml:space="preserve">Key Features</w:t>
      </w:r>
    </w:p>
    <w:bookmarkStart w:id="22" w:name="automated-extraction-pipeline"/>
    <w:p>
      <w:pPr>
        <w:pStyle w:val="Heading3"/>
      </w:pPr>
      <w:r>
        <w:t xml:space="preserve">Automated Extraction Pipeline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OCR</w:t>
      </w:r>
      <w:r>
        <w:t xml:space="preserve"> </w:t>
      </w:r>
      <w:r>
        <w:t xml:space="preserve">— Extracts text from digitized documents (manuscripts, typed records, printed material) using Tesseract via the external AI server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Named Entity Recognition</w:t>
      </w:r>
      <w:r>
        <w:t xml:space="preserve"> </w:t>
      </w:r>
      <w:r>
        <w:t xml:space="preserve">— Identifies persons, organizations, places, and dates from OCR text using spaCy NLP models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Translation</w:t>
      </w:r>
      <w:r>
        <w:t xml:space="preserve"> </w:t>
      </w:r>
      <w:r>
        <w:t xml:space="preserve">— Translates extracted text between language pairs using Argos Translate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Summarization</w:t>
      </w:r>
      <w:r>
        <w:t xml:space="preserve"> </w:t>
      </w:r>
      <w:r>
        <w:t xml:space="preserve">— Generates concise summaries of extracted text content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Face Detection</w:t>
      </w:r>
      <w:r>
        <w:t xml:space="preserve"> </w:t>
      </w:r>
      <w:r>
        <w:t xml:space="preserve">— Detects human faces in photographic material for potential authority record matching</w:t>
      </w:r>
    </w:p>
    <w:bookmarkEnd w:id="22"/>
    <w:bookmarkStart w:id="23" w:name="architecture"/>
    <w:p>
      <w:pPr>
        <w:pStyle w:val="Heading3"/>
      </w:pPr>
      <w:r>
        <w:t xml:space="preserve">Architecture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External AI Server</w:t>
      </w:r>
      <w:r>
        <w:t xml:space="preserve">: All AI processing is performed by a dedicated server (</w:t>
      </w:r>
      <w:r>
        <w:rPr>
          <w:rStyle w:val="VerbatimChar"/>
        </w:rPr>
        <w:t xml:space="preserve">http://&lt;host&gt;:5004/ai/v1</w:t>
      </w:r>
      <w:r>
        <w:t xml:space="preserve">), keeping AtoM’s web server lightweight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Bridge Pattern</w:t>
      </w:r>
      <w:r>
        <w:t xml:space="preserve">: IiifAiService composes existing services (NerService, IIIF annotation services) rather than duplicating functionality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Configurable Pipeline</w:t>
      </w:r>
      <w:r>
        <w:t xml:space="preserve">: Each extraction step can be enabled/disabled independently per request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Batch Processing</w:t>
      </w:r>
      <w:r>
        <w:t xml:space="preserve">: Supports processing all digital objects for an information object in a single call</w:t>
      </w:r>
    </w:p>
    <w:bookmarkEnd w:id="23"/>
    <w:bookmarkStart w:id="24" w:name="data-storage"/>
    <w:p>
      <w:pPr>
        <w:pStyle w:val="Heading3"/>
      </w:pPr>
      <w:r>
        <w:t xml:space="preserve">Data Storage</w:t>
      </w:r>
    </w:p>
    <w:p>
      <w:pPr>
        <w:numPr>
          <w:ilvl w:val="0"/>
          <w:numId w:val="1003"/>
        </w:numPr>
        <w:pStyle w:val="Compact"/>
      </w:pPr>
      <w:r>
        <w:t xml:space="preserve">OCR text stored in</w:t>
      </w:r>
      <w:r>
        <w:t xml:space="preserve"> </w:t>
      </w:r>
      <w:r>
        <w:rPr>
          <w:rStyle w:val="VerbatimChar"/>
        </w:rPr>
        <w:t xml:space="preserve">iiif_ocr_text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iiif_ocr_block</w:t>
      </w:r>
      <w:r>
        <w:t xml:space="preserve"> </w:t>
      </w:r>
      <w:r>
        <w:t xml:space="preserve">tables (existing IIIF infrastructure)</w:t>
      </w:r>
    </w:p>
    <w:p>
      <w:pPr>
        <w:numPr>
          <w:ilvl w:val="0"/>
          <w:numId w:val="1003"/>
        </w:numPr>
        <w:pStyle w:val="Compact"/>
      </w:pPr>
      <w:r>
        <w:t xml:space="preserve">NER entities stored in</w:t>
      </w:r>
      <w:r>
        <w:t xml:space="preserve"> </w:t>
      </w:r>
      <w:r>
        <w:rPr>
          <w:rStyle w:val="VerbatimChar"/>
        </w:rPr>
        <w:t xml:space="preserve">ahg_ner_entity</w:t>
      </w:r>
      <w:r>
        <w:t xml:space="preserve"> </w:t>
      </w:r>
      <w:r>
        <w:t xml:space="preserve">table (existing AI infrastructure)</w:t>
      </w:r>
    </w:p>
    <w:p>
      <w:pPr>
        <w:numPr>
          <w:ilvl w:val="0"/>
          <w:numId w:val="1003"/>
        </w:numPr>
        <w:pStyle w:val="Compact"/>
      </w:pPr>
      <w:r>
        <w:t xml:space="preserve">Annotations stored in</w:t>
      </w:r>
      <w:r>
        <w:t xml:space="preserve"> </w:t>
      </w:r>
      <w:r>
        <w:rPr>
          <w:rStyle w:val="VerbatimChar"/>
        </w:rPr>
        <w:t xml:space="preserve">iiif_annotation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iiif_annotation_body</w:t>
      </w:r>
      <w:r>
        <w:t xml:space="preserve"> </w:t>
      </w:r>
      <w:r>
        <w:t xml:space="preserve">tables (W3C Web Annotation model)</w:t>
      </w:r>
    </w:p>
    <w:p>
      <w:pPr>
        <w:numPr>
          <w:ilvl w:val="0"/>
          <w:numId w:val="1003"/>
        </w:numPr>
        <w:pStyle w:val="Compact"/>
      </w:pPr>
      <w:r>
        <w:t xml:space="preserve">Extraction history tracked in</w:t>
      </w:r>
      <w:r>
        <w:t xml:space="preserve"> </w:t>
      </w:r>
      <w:r>
        <w:rPr>
          <w:rStyle w:val="VerbatimChar"/>
        </w:rPr>
        <w:t xml:space="preserve">ai_iiif_extraction</w:t>
      </w:r>
      <w:r>
        <w:t xml:space="preserve"> </w:t>
      </w:r>
      <w:r>
        <w:t xml:space="preserve">table (new)</w:t>
      </w:r>
    </w:p>
    <w:bookmarkEnd w:id="24"/>
    <w:bookmarkStart w:id="25" w:name="settings-integration"/>
    <w:p>
      <w:pPr>
        <w:pStyle w:val="Heading3"/>
      </w:pPr>
      <w:r>
        <w:t xml:space="preserve">Settings Integration</w:t>
      </w:r>
    </w:p>
    <w:p>
      <w:pPr>
        <w:numPr>
          <w:ilvl w:val="0"/>
          <w:numId w:val="1004"/>
        </w:numPr>
        <w:pStyle w:val="Compact"/>
      </w:pPr>
      <w:r>
        <w:t xml:space="preserve">AI server URL, API key, and timeout configurable via</w:t>
      </w:r>
      <w:r>
        <w:t xml:space="preserve"> </w:t>
      </w:r>
      <w:r>
        <w:rPr>
          <w:bCs/>
          <w:b/>
        </w:rPr>
        <w:t xml:space="preserve">Admin &gt; AHG Settings &gt; AI Services</w:t>
      </w:r>
    </w:p>
    <w:p>
      <w:pPr>
        <w:numPr>
          <w:ilvl w:val="0"/>
          <w:numId w:val="1004"/>
        </w:numPr>
        <w:pStyle w:val="Compact"/>
      </w:pPr>
      <w:r>
        <w:t xml:space="preserve">Settings consolidated into</w:t>
      </w:r>
      <w:r>
        <w:t xml:space="preserve"> </w:t>
      </w:r>
      <w:r>
        <w:rPr>
          <w:rStyle w:val="VerbatimChar"/>
        </w:rPr>
        <w:t xml:space="preserve">ahg_ai_settings</w:t>
      </w:r>
      <w:r>
        <w:t xml:space="preserve"> </w:t>
      </w:r>
      <w:r>
        <w:t xml:space="preserve">table (single source of truth)</w:t>
      </w:r>
    </w:p>
    <w:p>
      <w:pPr>
        <w:numPr>
          <w:ilvl w:val="0"/>
          <w:numId w:val="1004"/>
        </w:numPr>
        <w:pStyle w:val="Compact"/>
      </w:pPr>
      <w:r>
        <w:t xml:space="preserve">Backward-compatible fallback to legacy</w:t>
      </w:r>
      <w:r>
        <w:t xml:space="preserve"> </w:t>
      </w:r>
      <w:r>
        <w:rPr>
          <w:rStyle w:val="VerbatimChar"/>
        </w:rPr>
        <w:t xml:space="preserve">ahg_ner_settings</w:t>
      </w:r>
      <w:r>
        <w:t xml:space="preserve"> </w:t>
      </w:r>
      <w:r>
        <w:t xml:space="preserve">table during migration period</w:t>
      </w:r>
    </w:p>
    <w:p>
      <w:pPr>
        <w:numPr>
          <w:ilvl w:val="0"/>
          <w:numId w:val="1004"/>
        </w:numPr>
        <w:pStyle w:val="Compact"/>
      </w:pPr>
      <w:r>
        <w:t xml:space="preserve">Per-feature toggles for OCR, NER, translation, summarization, and face detection</w:t>
      </w:r>
    </w:p>
    <w:bookmarkEnd w:id="25"/>
    <w:bookmarkStart w:id="26" w:name="extraction-tracking"/>
    <w:p>
      <w:pPr>
        <w:pStyle w:val="Heading3"/>
      </w:pPr>
      <w:r>
        <w:t xml:space="preserve">Extraction Tracking</w:t>
      </w:r>
    </w:p>
    <w:p>
      <w:pPr>
        <w:numPr>
          <w:ilvl w:val="0"/>
          <w:numId w:val="1005"/>
        </w:numPr>
        <w:pStyle w:val="Compact"/>
      </w:pPr>
      <w:r>
        <w:t xml:space="preserve">Every extraction operation logged with status, duration, error messages, and result counts</w:t>
      </w:r>
    </w:p>
    <w:p>
      <w:pPr>
        <w:numPr>
          <w:ilvl w:val="0"/>
          <w:numId w:val="1005"/>
        </w:numPr>
        <w:pStyle w:val="Compact"/>
      </w:pPr>
      <w:r>
        <w:t xml:space="preserve">Status dashboard shows extraction coverage across the collection</w:t>
      </w:r>
    </w:p>
    <w:p>
      <w:pPr>
        <w:numPr>
          <w:ilvl w:val="0"/>
          <w:numId w:val="1005"/>
        </w:numPr>
        <w:pStyle w:val="Compact"/>
      </w:pPr>
      <w:r>
        <w:t xml:space="preserve">Statistics API for reporting on AI processing activity</w:t>
      </w:r>
    </w:p>
    <w:bookmarkEnd w:id="26"/>
    <w:bookmarkEnd w:id="27"/>
    <w:bookmarkStart w:id="28" w:name="database-tables"/>
    <w:p>
      <w:pPr>
        <w:pStyle w:val="Heading2"/>
      </w:pPr>
      <w:r>
        <w:t xml:space="preserve">Database Tables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ai_iiif_extraction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job log — tracks each pipeline run per digital object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ahg_ai_settings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Consolidated AI settings (feature + setting_key + value)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iiif_ocr_text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OCR text per digital object (existing)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iiif_ocr_block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 text blocks with coordinates (existing)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ahg_ner_entity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Extracted named entities (existing)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iiif_annotation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W3C Web Annotations (existing)</w:t>
            </w:r>
          </w:p>
        </w:tc>
      </w:tr>
    </w:tbl>
    <w:bookmarkEnd w:id="28"/>
    <w:bookmarkStart w:id="29" w:name="technical-requirements"/>
    <w:p>
      <w:pPr>
        <w:pStyle w:val="Heading2"/>
      </w:pPr>
      <w:r>
        <w:t xml:space="preserve">Technical Requirements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680"/>
        <w:gridCol w:w="32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AtoM Heratio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v2.8.2+ with atom-framework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Plugins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ahgAIPlugin, ahgIiifPlugin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External AI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server with spaCy, Argos Translate, Tesseract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Server Endpoint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http://&lt;host&gt;:5004/ai/v1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8.0+</w:t>
            </w:r>
          </w:p>
        </w:tc>
      </w:tr>
    </w:tbl>
    <w:bookmarkEnd w:id="29"/>
    <w:bookmarkStart w:id="30" w:name="standards-compliance"/>
    <w:p>
      <w:pPr>
        <w:pStyle w:val="Heading2"/>
      </w:pPr>
      <w:r>
        <w:t xml:space="preserve">Standards Compliance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W3C Web Annotation Data Model</w:t>
      </w:r>
      <w:r>
        <w:t xml:space="preserve"> </w:t>
      </w:r>
      <w:r>
        <w:t xml:space="preserve">— NER and face detection results stored as IIIF annotations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IIIF Presentation API 3.0</w:t>
      </w:r>
      <w:r>
        <w:t xml:space="preserve"> </w:t>
      </w:r>
      <w:r>
        <w:t xml:space="preserve">— Compatible with IIIF manifests and canvases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OAIS</w:t>
      </w:r>
      <w:r>
        <w:t xml:space="preserve"> </w:t>
      </w:r>
      <w:r>
        <w:t xml:space="preserve">— Extracted metadata enriches Archival Information Packages (AIPs)</w:t>
      </w:r>
    </w:p>
    <w:bookmarkEnd w:id="30"/>
    <w:bookmarkStart w:id="31" w:name="use-cases"/>
    <w:p>
      <w:pPr>
        <w:pStyle w:val="Heading2"/>
      </w:pPr>
      <w:r>
        <w:t xml:space="preserve">Use Cases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Bulk OCR of digitized collections</w:t>
      </w:r>
      <w:r>
        <w:t xml:space="preserve"> </w:t>
      </w:r>
      <w:r>
        <w:t xml:space="preserve">— Process thousands of scanned documents to make them full-text searchable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Automated entity extraction</w:t>
      </w:r>
      <w:r>
        <w:t xml:space="preserve"> </w:t>
      </w:r>
      <w:r>
        <w:t xml:space="preserve">— Identify people, places, and organizations mentioned in archival documents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Multi-language collections</w:t>
      </w:r>
      <w:r>
        <w:t xml:space="preserve"> </w:t>
      </w:r>
      <w:r>
        <w:t xml:space="preserve">— Translate extracted text for cross-language discovery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Photographic archives</w:t>
      </w:r>
      <w:r>
        <w:t xml:space="preserve"> </w:t>
      </w:r>
      <w:r>
        <w:t xml:space="preserve">— Detect faces in historical photographs for authority record linking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Collection summarization</w:t>
      </w:r>
      <w:r>
        <w:t xml:space="preserve"> </w:t>
      </w:r>
      <w:r>
        <w:t xml:space="preserve">— Generate concise descriptions of lengthy archival documents</w:t>
      </w:r>
    </w:p>
    <w:bookmarkEnd w:id="31"/>
    <w:bookmarkStart w:id="35" w:name="related-components"/>
    <w:p>
      <w:pPr>
        <w:pStyle w:val="Heading2"/>
      </w:pPr>
      <w:r>
        <w:t xml:space="preserve">Related Components</w:t>
      </w:r>
    </w:p>
    <w:p>
      <w:pPr>
        <w:numPr>
          <w:ilvl w:val="0"/>
          <w:numId w:val="1008"/>
        </w:numPr>
        <w:pStyle w:val="Compact"/>
      </w:pPr>
      <w:hyperlink r:id="rId32">
        <w:r>
          <w:rPr>
            <w:rStyle w:val="Hyperlink"/>
          </w:rPr>
          <w:t xml:space="preserve">AI Tools User Guide</w:t>
        </w:r>
      </w:hyperlink>
    </w:p>
    <w:p>
      <w:pPr>
        <w:numPr>
          <w:ilvl w:val="0"/>
          <w:numId w:val="1008"/>
        </w:numPr>
        <w:pStyle w:val="Compact"/>
      </w:pPr>
      <w:hyperlink r:id="rId33">
        <w:r>
          <w:rPr>
            <w:rStyle w:val="Hyperlink"/>
          </w:rPr>
          <w:t xml:space="preserve">IIIF Integration User Guide</w:t>
        </w:r>
      </w:hyperlink>
    </w:p>
    <w:p>
      <w:pPr>
        <w:numPr>
          <w:ilvl w:val="0"/>
          <w:numId w:val="1008"/>
        </w:numPr>
        <w:pStyle w:val="Compact"/>
      </w:pPr>
      <w:hyperlink r:id="rId34">
        <w:r>
          <w:rPr>
            <w:rStyle w:val="Hyperlink"/>
          </w:rPr>
          <w:t xml:space="preserve">Data Ingest User Guide</w:t>
        </w:r>
      </w:hyperlink>
      <w:r>
        <w:t xml:space="preserve"> </w:t>
      </w:r>
      <w:r>
        <w:t xml:space="preserve">— Ingest pipeline can trigger AI extraction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AtoM Heratio is developed by The Archive and Heritage Group (Pty) Ltd for GLAM and DAM institutions worldwide.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2" Target="ai-tools-user-guide.md" TargetMode="External" /><Relationship Type="http://schemas.openxmlformats.org/officeDocument/2006/relationships/hyperlink" Id="rId34" Target="data-ingest-user-guide.md" TargetMode="External" /><Relationship Type="http://schemas.openxmlformats.org/officeDocument/2006/relationships/hyperlink" Id="rId33" Target="iiif-integration-user-guid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ai-tools-user-guide.md" TargetMode="External" /><Relationship Type="http://schemas.openxmlformats.org/officeDocument/2006/relationships/hyperlink" Id="rId34" Target="data-ingest-user-guide.md" TargetMode="External" /><Relationship Type="http://schemas.openxmlformats.org/officeDocument/2006/relationships/hyperlink" Id="rId33" Target="iiif-integration-user-guid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AtoM Heratio — IIIF AI Extraction Feature Overview</dc:title>
  <dc:creator>The Archive and Heritage Group (Pty) Ltd</dc:creator>
  <cp:keywords/>
  <dcterms:created xsi:type="dcterms:W3CDTF">2026-03-08T16:04:34Z</dcterms:created>
  <dcterms:modified xsi:type="dcterms:W3CDTF">2026-03-08T16:04:34Z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