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IIIF Compliance Hardening</w:t>
      </w:r>
    </w:p>
    <w:p>
      <w:pPr>
        <w:pStyle w:val="Author"/>
      </w:pPr>
      <w:r>
        <w:t xml:space="preserve">The Archive and Heritage Group (Pty) Ltd</w:t>
      </w:r>
    </w:p>
    <w:bookmarkStart w:id="34" w:name="atom-heratio-iiif-compliance-hardening"/>
    <w:p>
      <w:pPr>
        <w:pStyle w:val="Heading1"/>
      </w:pPr>
      <w:r>
        <w:t xml:space="preserve">AtoM Heratio — IIIF Compliance Hardening</w:t>
      </w:r>
    </w:p>
    <w:bookmarkStart w:id="20" w:name="overview"/>
    <w:p>
      <w:pPr>
        <w:pStyle w:val="Heading2"/>
      </w:pPr>
      <w:r>
        <w:t xml:space="preserve">Overview</w:t>
      </w:r>
    </w:p>
    <w:p>
      <w:pPr>
        <w:pStyle w:val="FirstParagraph"/>
      </w:pPr>
      <w:r>
        <w:t xml:space="preserve">The</w:t>
      </w:r>
      <w:r>
        <w:t xml:space="preserve"> </w:t>
      </w:r>
      <w:r>
        <w:rPr>
          <w:bCs/>
          <w:b/>
        </w:rPr>
        <w:t xml:space="preserve">IIIF Compliance Hardening</w:t>
      </w:r>
      <w:r>
        <w:t xml:space="preserve"> </w:t>
      </w:r>
      <w:r>
        <w:t xml:space="preserve">enhancement brings AtoM Heratio’s IIIF implementation into full alignment with the IIIF Presentation API 3.0 specification. It adds manifest validation, quality control dashboards, and integrates IIIF readiness checks into the publish gate system.</w:t>
      </w:r>
    </w:p>
    <w:p>
      <w:pPr>
        <w:pStyle w:val="BodyText"/>
      </w:pPr>
      <w:r>
        <w:t xml:space="preserve">This feature is part of the AtoM Heratio framework v2.8.2 by The Archive and Heritage Group (Pty) Ltd.</w:t>
      </w:r>
    </w:p>
    <w:bookmarkEnd w:id="20"/>
    <w:bookmarkStart w:id="25" w:name="key-features"/>
    <w:p>
      <w:pPr>
        <w:pStyle w:val="Heading2"/>
      </w:pPr>
      <w:r>
        <w:t xml:space="preserve">Key Features</w:t>
      </w:r>
    </w:p>
    <w:bookmarkStart w:id="21" w:name="Xc7236fe2e2c56aba7f750f817cd400b1c399a2a"/>
    <w:p>
      <w:pPr>
        <w:pStyle w:val="Heading3"/>
      </w:pPr>
      <w:r>
        <w:t xml:space="preserve">Manifest Enhancements (IIIF Presentation API 3.0)</w:t>
      </w:r>
    </w:p>
    <w:p>
      <w:pPr>
        <w:numPr>
          <w:ilvl w:val="0"/>
          <w:numId w:val="1001"/>
        </w:numPr>
        <w:pStyle w:val="Compact"/>
      </w:pPr>
      <w:r>
        <w:rPr>
          <w:bCs/>
          <w:b/>
        </w:rPr>
        <w:t xml:space="preserve">ImageService3</w:t>
      </w:r>
      <w:r>
        <w:t xml:space="preserve">: Declares both</w:t>
      </w:r>
      <w:r>
        <w:t xml:space="preserve"> </w:t>
      </w:r>
      <w:r>
        <w:rPr>
          <w:rStyle w:val="VerbatimChar"/>
        </w:rPr>
        <w:t xml:space="preserve">ImageService2</w:t>
      </w:r>
      <w:r>
        <w:t xml:space="preserve"> </w:t>
      </w:r>
      <w:r>
        <w:t xml:space="preserve">and</w:t>
      </w:r>
      <w:r>
        <w:t xml:space="preserve"> </w:t>
      </w:r>
      <w:r>
        <w:rPr>
          <w:rStyle w:val="VerbatimChar"/>
        </w:rPr>
        <w:t xml:space="preserve">ImageService3</w:t>
      </w:r>
      <w:r>
        <w:t xml:space="preserve"> </w:t>
      </w:r>
      <w:r>
        <w:t xml:space="preserve">types for maximum viewer compatibility</w:t>
      </w:r>
    </w:p>
    <w:p>
      <w:pPr>
        <w:numPr>
          <w:ilvl w:val="0"/>
          <w:numId w:val="1001"/>
        </w:numPr>
        <w:pStyle w:val="Compact"/>
      </w:pPr>
      <w:r>
        <w:rPr>
          <w:bCs/>
          <w:b/>
        </w:rPr>
        <w:t xml:space="preserve">Rights</w:t>
      </w:r>
      <w:r>
        <w:t xml:space="preserve">: Extracts Creative Commons and RightsStatements.org URIs from the rights table</w:t>
      </w:r>
    </w:p>
    <w:p>
      <w:pPr>
        <w:numPr>
          <w:ilvl w:val="0"/>
          <w:numId w:val="1001"/>
        </w:numPr>
        <w:pStyle w:val="Compact"/>
      </w:pPr>
      <w:r>
        <w:rPr>
          <w:bCs/>
          <w:b/>
        </w:rPr>
        <w:t xml:space="preserve">Required Statement</w:t>
      </w:r>
      <w:r>
        <w:t xml:space="preserve">: Automatically includes institution attribution from repository metadata or IIIF settings</w:t>
      </w:r>
    </w:p>
    <w:p>
      <w:pPr>
        <w:numPr>
          <w:ilvl w:val="0"/>
          <w:numId w:val="1001"/>
        </w:numPr>
        <w:pStyle w:val="Compact"/>
      </w:pPr>
      <w:r>
        <w:rPr>
          <w:bCs/>
          <w:b/>
        </w:rPr>
        <w:t xml:space="preserve">Provider</w:t>
      </w:r>
      <w:r>
        <w:t xml:space="preserve">: Adds institution details (name, homepage) from the linked repository</w:t>
      </w:r>
    </w:p>
    <w:p>
      <w:pPr>
        <w:numPr>
          <w:ilvl w:val="0"/>
          <w:numId w:val="1001"/>
        </w:numPr>
        <w:pStyle w:val="Compact"/>
      </w:pPr>
      <w:r>
        <w:rPr>
          <w:bCs/>
          <w:b/>
        </w:rPr>
        <w:t xml:space="preserve">seeAlso</w:t>
      </w:r>
      <w:r>
        <w:t xml:space="preserve">: Links back to the AtoM archival description page</w:t>
      </w:r>
    </w:p>
    <w:p>
      <w:pPr>
        <w:numPr>
          <w:ilvl w:val="0"/>
          <w:numId w:val="1001"/>
        </w:numPr>
        <w:pStyle w:val="Compact"/>
      </w:pPr>
      <w:r>
        <w:rPr>
          <w:bCs/>
          <w:b/>
        </w:rPr>
        <w:t xml:space="preserve">Thumbnail Dimensions</w:t>
      </w:r>
      <w:r>
        <w:t xml:space="preserve">: Explicit width/height on thumbnail resources (200px scaled)</w:t>
      </w:r>
    </w:p>
    <w:bookmarkEnd w:id="21"/>
    <w:bookmarkStart w:id="22" w:name="iiif-validation-service"/>
    <w:p>
      <w:pPr>
        <w:pStyle w:val="Heading3"/>
      </w:pPr>
      <w:r>
        <w:t xml:space="preserve">IIIF Validation Service</w:t>
      </w:r>
    </w:p>
    <w:p>
      <w:pPr>
        <w:numPr>
          <w:ilvl w:val="0"/>
          <w:numId w:val="1002"/>
        </w:numPr>
        <w:pStyle w:val="Compact"/>
      </w:pPr>
      <w:r>
        <w:rPr>
          <w:bCs/>
          <w:b/>
        </w:rPr>
        <w:t xml:space="preserve">Structural Checks</w:t>
      </w:r>
      <w:r>
        <w:t xml:space="preserve">: Validates manifest label, canvases, annotations, and context</w:t>
      </w:r>
    </w:p>
    <w:p>
      <w:pPr>
        <w:numPr>
          <w:ilvl w:val="0"/>
          <w:numId w:val="1002"/>
        </w:numPr>
        <w:pStyle w:val="Compact"/>
      </w:pPr>
      <w:r>
        <w:rPr>
          <w:bCs/>
          <w:b/>
        </w:rPr>
        <w:t xml:space="preserve">Rights Presence</w:t>
      </w:r>
      <w:r>
        <w:t xml:space="preserve">: Checks if rights statements are assigned (for manifest</w:t>
      </w:r>
      <w:r>
        <w:t xml:space="preserve"> </w:t>
      </w:r>
      <w:r>
        <w:rPr>
          <w:rStyle w:val="VerbatimChar"/>
        </w:rPr>
        <w:t xml:space="preserve">rights</w:t>
      </w:r>
      <w:r>
        <w:t xml:space="preserve"> </w:t>
      </w:r>
      <w:r>
        <w:t xml:space="preserve">field)</w:t>
      </w:r>
    </w:p>
    <w:p>
      <w:pPr>
        <w:numPr>
          <w:ilvl w:val="0"/>
          <w:numId w:val="1002"/>
        </w:numPr>
        <w:pStyle w:val="Compact"/>
      </w:pPr>
      <w:r>
        <w:rPr>
          <w:bCs/>
          <w:b/>
        </w:rPr>
        <w:t xml:space="preserve">Required Statement</w:t>
      </w:r>
      <w:r>
        <w:t xml:space="preserve">: Verifies institution attribution is available</w:t>
      </w:r>
    </w:p>
    <w:p>
      <w:pPr>
        <w:numPr>
          <w:ilvl w:val="0"/>
          <w:numId w:val="1002"/>
        </w:numPr>
        <w:pStyle w:val="Compact"/>
      </w:pPr>
      <w:r>
        <w:rPr>
          <w:bCs/>
          <w:b/>
        </w:rPr>
        <w:t xml:space="preserve">Image Service Health</w:t>
      </w:r>
      <w:r>
        <w:t xml:space="preserve">: Probes Cantaloupe for availability</w:t>
      </w:r>
    </w:p>
    <w:p>
      <w:pPr>
        <w:numPr>
          <w:ilvl w:val="0"/>
          <w:numId w:val="1002"/>
        </w:numPr>
        <w:pStyle w:val="Compact"/>
      </w:pPr>
      <w:r>
        <w:rPr>
          <w:bCs/>
          <w:b/>
        </w:rPr>
        <w:t xml:space="preserve">Derivative Verification</w:t>
      </w:r>
      <w:r>
        <w:t xml:space="preserve">: Checks that digital object files exist on disk</w:t>
      </w:r>
    </w:p>
    <w:p>
      <w:pPr>
        <w:numPr>
          <w:ilvl w:val="0"/>
          <w:numId w:val="1002"/>
        </w:numPr>
        <w:pStyle w:val="Compact"/>
      </w:pPr>
      <w:r>
        <w:rPr>
          <w:bCs/>
          <w:b/>
        </w:rPr>
        <w:t xml:space="preserve">Batch Validation</w:t>
      </w:r>
      <w:r>
        <w:t xml:space="preserve">: Validate multiple objects with summary statistics</w:t>
      </w:r>
    </w:p>
    <w:bookmarkEnd w:id="22"/>
    <w:bookmarkStart w:id="23" w:name="validation-dashboard"/>
    <w:p>
      <w:pPr>
        <w:pStyle w:val="Heading3"/>
      </w:pPr>
      <w:r>
        <w:t xml:space="preserve">Validation Dashboard</w:t>
      </w:r>
    </w:p>
    <w:p>
      <w:pPr>
        <w:numPr>
          <w:ilvl w:val="0"/>
          <w:numId w:val="1003"/>
        </w:numPr>
        <w:pStyle w:val="Compact"/>
      </w:pPr>
      <w:r>
        <w:rPr>
          <w:bCs/>
          <w:b/>
        </w:rPr>
        <w:t xml:space="preserve">QC Overview</w:t>
      </w:r>
      <w:r>
        <w:t xml:space="preserve">: Card-based statistics showing passed, failed, and warning counts</w:t>
      </w:r>
    </w:p>
    <w:p>
      <w:pPr>
        <w:numPr>
          <w:ilvl w:val="0"/>
          <w:numId w:val="1003"/>
        </w:numPr>
        <w:pStyle w:val="Compact"/>
      </w:pPr>
      <w:r>
        <w:rPr>
          <w:bCs/>
          <w:b/>
        </w:rPr>
        <w:t xml:space="preserve">Recent Failures</w:t>
      </w:r>
      <w:r>
        <w:t xml:space="preserve">: Table of recent validation failures with details</w:t>
      </w:r>
    </w:p>
    <w:p>
      <w:pPr>
        <w:numPr>
          <w:ilvl w:val="0"/>
          <w:numId w:val="1003"/>
        </w:numPr>
        <w:pStyle w:val="Compact"/>
      </w:pPr>
      <w:r>
        <w:rPr>
          <w:bCs/>
          <w:b/>
        </w:rPr>
        <w:t xml:space="preserve">Quick Validate</w:t>
      </w:r>
      <w:r>
        <w:t xml:space="preserve">: One-click validation for any object with digital objects</w:t>
      </w:r>
    </w:p>
    <w:p>
      <w:pPr>
        <w:numPr>
          <w:ilvl w:val="0"/>
          <w:numId w:val="1003"/>
        </w:numPr>
        <w:pStyle w:val="Compact"/>
      </w:pPr>
      <w:r>
        <w:rPr>
          <w:bCs/>
          <w:b/>
        </w:rPr>
        <w:t xml:space="preserve">Real-Time Results</w:t>
      </w:r>
      <w:r>
        <w:t xml:space="preserve">: AJAX validation with inline result display</w:t>
      </w:r>
    </w:p>
    <w:bookmarkEnd w:id="23"/>
    <w:bookmarkStart w:id="24" w:name="publish-gate-integration"/>
    <w:p>
      <w:pPr>
        <w:pStyle w:val="Heading3"/>
      </w:pPr>
      <w:r>
        <w:t xml:space="preserve">Publish Gate Integration</w:t>
      </w:r>
    </w:p>
    <w:p>
      <w:pPr>
        <w:numPr>
          <w:ilvl w:val="0"/>
          <w:numId w:val="1004"/>
        </w:numPr>
        <w:pStyle w:val="Compact"/>
      </w:pPr>
      <w:r>
        <w:rPr>
          <w:bCs/>
          <w:b/>
        </w:rPr>
        <w:t xml:space="preserve">IIIF Ready Rule</w:t>
      </w:r>
      <w:r>
        <w:t xml:space="preserve">: The</w:t>
      </w:r>
      <w:r>
        <w:t xml:space="preserve"> </w:t>
      </w:r>
      <w:r>
        <w:rPr>
          <w:rStyle w:val="VerbatimChar"/>
        </w:rPr>
        <w:t xml:space="preserve">iiif_ready</w:t>
      </w:r>
      <w:r>
        <w:t xml:space="preserve"> </w:t>
      </w:r>
      <w:r>
        <w:t xml:space="preserve">gate rule type delegates to the IIIF Validation Service</w:t>
      </w:r>
    </w:p>
    <w:p>
      <w:pPr>
        <w:numPr>
          <w:ilvl w:val="0"/>
          <w:numId w:val="1004"/>
        </w:numPr>
        <w:pStyle w:val="Compact"/>
      </w:pPr>
      <w:r>
        <w:rPr>
          <w:bCs/>
          <w:b/>
        </w:rPr>
        <w:t xml:space="preserve">Automatic Fallback</w:t>
      </w:r>
      <w:r>
        <w:t xml:space="preserve">: If the IIIF plugin isn’t installed, basic derivative checks are used</w:t>
      </w:r>
    </w:p>
    <w:p>
      <w:pPr>
        <w:numPr>
          <w:ilvl w:val="0"/>
          <w:numId w:val="1004"/>
        </w:numPr>
        <w:pStyle w:val="Compact"/>
      </w:pPr>
      <w:r>
        <w:rPr>
          <w:bCs/>
          <w:b/>
        </w:rPr>
        <w:t xml:space="preserve">Gate Status</w:t>
      </w:r>
      <w:r>
        <w:t xml:space="preserve">: Failed IIIF checks appear in the publish readiness dashboard</w:t>
      </w:r>
    </w:p>
    <w:bookmarkEnd w:id="24"/>
    <w:bookmarkEnd w:id="25"/>
    <w:bookmarkStart w:id="26" w:name="validation-checks"/>
    <w:p>
      <w:pPr>
        <w:pStyle w:val="Heading2"/>
      </w:pPr>
      <w:r>
        <w:t xml:space="preserve">Validation Checks</w:t>
      </w:r>
    </w:p>
    <w:tbl>
      <w:tblPr>
        <w:tblStyle w:val="Table"/>
        <w:tblW w:type="pct" w:w="5000"/>
        <w:tblLook w:firstRow="1" w:lastRow="0" w:firstColumn="0" w:lastColumn="0" w:noHBand="0" w:noVBand="0" w:val="0020"/>
        <w:jc w:val="start"/>
      </w:tblPr>
      <w:tblGrid>
        <w:gridCol w:w="2132"/>
        <w:gridCol w:w="1827"/>
        <w:gridCol w:w="3960"/>
      </w:tblGrid>
      <w:tr>
        <w:trPr>
          <w:tblHeader w:val="true"/>
        </w:trPr>
        <w:tc>
          <w:tcPr/>
          <w:p>
            <w:pPr>
              <w:pStyle w:val="Compact"/>
              <w:jc w:val="left"/>
            </w:pPr>
            <w:r>
              <w:t xml:space="preserve">Check</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label_present</w:t>
            </w:r>
          </w:p>
        </w:tc>
        <w:tc>
          <w:tcPr/>
          <w:p>
            <w:pPr>
              <w:pStyle w:val="Compact"/>
              <w:jc w:val="left"/>
            </w:pPr>
            <w:r>
              <w:t xml:space="preserve">Required</w:t>
            </w:r>
          </w:p>
        </w:tc>
        <w:tc>
          <w:tcPr/>
          <w:p>
            <w:pPr>
              <w:pStyle w:val="Compact"/>
              <w:jc w:val="left"/>
            </w:pPr>
            <w:r>
              <w:t xml:space="preserve">Manifest has a non-empty label (title)</w:t>
            </w:r>
          </w:p>
        </w:tc>
      </w:tr>
      <w:tr>
        <w:tc>
          <w:tcPr/>
          <w:p>
            <w:pPr>
              <w:pStyle w:val="Compact"/>
              <w:jc w:val="left"/>
            </w:pPr>
            <w:r>
              <w:rPr>
                <w:rStyle w:val="VerbatimChar"/>
              </w:rPr>
              <w:t xml:space="preserve">has_canvases</w:t>
            </w:r>
          </w:p>
        </w:tc>
        <w:tc>
          <w:tcPr/>
          <w:p>
            <w:pPr>
              <w:pStyle w:val="Compact"/>
              <w:jc w:val="left"/>
            </w:pPr>
            <w:r>
              <w:t xml:space="preserve">Required</w:t>
            </w:r>
          </w:p>
        </w:tc>
        <w:tc>
          <w:tcPr/>
          <w:p>
            <w:pPr>
              <w:pStyle w:val="Compact"/>
              <w:jc w:val="left"/>
            </w:pPr>
            <w:r>
              <w:t xml:space="preserve">At least one canvas with painting annotation</w:t>
            </w:r>
          </w:p>
        </w:tc>
      </w:tr>
      <w:tr>
        <w:tc>
          <w:tcPr/>
          <w:p>
            <w:pPr>
              <w:pStyle w:val="Compact"/>
              <w:jc w:val="left"/>
            </w:pPr>
            <w:r>
              <w:rPr>
                <w:rStyle w:val="VerbatimChar"/>
              </w:rPr>
              <w:t xml:space="preserve">thumbnail_present</w:t>
            </w:r>
          </w:p>
        </w:tc>
        <w:tc>
          <w:tcPr/>
          <w:p>
            <w:pPr>
              <w:pStyle w:val="Compact"/>
              <w:jc w:val="left"/>
            </w:pPr>
            <w:r>
              <w:t xml:space="preserve">Recommended</w:t>
            </w:r>
          </w:p>
        </w:tc>
        <w:tc>
          <w:tcPr/>
          <w:p>
            <w:pPr>
              <w:pStyle w:val="Compact"/>
              <w:jc w:val="left"/>
            </w:pPr>
            <w:r>
              <w:t xml:space="preserve">Thumbnail can be derived from first canvas</w:t>
            </w:r>
          </w:p>
        </w:tc>
      </w:tr>
      <w:tr>
        <w:tc>
          <w:tcPr/>
          <w:p>
            <w:pPr>
              <w:pStyle w:val="Compact"/>
              <w:jc w:val="left"/>
            </w:pPr>
            <w:r>
              <w:rPr>
                <w:rStyle w:val="VerbatimChar"/>
              </w:rPr>
              <w:t xml:space="preserve">rights_present</w:t>
            </w:r>
          </w:p>
        </w:tc>
        <w:tc>
          <w:tcPr/>
          <w:p>
            <w:pPr>
              <w:pStyle w:val="Compact"/>
              <w:jc w:val="left"/>
            </w:pPr>
            <w:r>
              <w:t xml:space="preserve">Recommended</w:t>
            </w:r>
          </w:p>
        </w:tc>
        <w:tc>
          <w:tcPr/>
          <w:p>
            <w:pPr>
              <w:pStyle w:val="Compact"/>
              <w:jc w:val="left"/>
            </w:pPr>
            <w:r>
              <w:t xml:space="preserve">Rights statement available for manifest</w:t>
            </w:r>
          </w:p>
        </w:tc>
      </w:tr>
      <w:tr>
        <w:tc>
          <w:tcPr/>
          <w:p>
            <w:pPr>
              <w:pStyle w:val="Compact"/>
              <w:jc w:val="left"/>
            </w:pPr>
            <w:r>
              <w:rPr>
                <w:rStyle w:val="VerbatimChar"/>
              </w:rPr>
              <w:t xml:space="preserve">required_statement</w:t>
            </w:r>
          </w:p>
        </w:tc>
        <w:tc>
          <w:tcPr/>
          <w:p>
            <w:pPr>
              <w:pStyle w:val="Compact"/>
              <w:jc w:val="left"/>
            </w:pPr>
            <w:r>
              <w:t xml:space="preserve">Recommended</w:t>
            </w:r>
          </w:p>
        </w:tc>
        <w:tc>
          <w:tcPr/>
          <w:p>
            <w:pPr>
              <w:pStyle w:val="Compact"/>
              <w:jc w:val="left"/>
            </w:pPr>
            <w:r>
              <w:t xml:space="preserve">Institution attribution available</w:t>
            </w:r>
          </w:p>
        </w:tc>
      </w:tr>
      <w:tr>
        <w:tc>
          <w:tcPr/>
          <w:p>
            <w:pPr>
              <w:pStyle w:val="Compact"/>
              <w:jc w:val="left"/>
            </w:pPr>
            <w:r>
              <w:rPr>
                <w:rStyle w:val="VerbatimChar"/>
              </w:rPr>
              <w:t xml:space="preserve">image_service</w:t>
            </w:r>
          </w:p>
        </w:tc>
        <w:tc>
          <w:tcPr/>
          <w:p>
            <w:pPr>
              <w:pStyle w:val="Compact"/>
              <w:jc w:val="left"/>
            </w:pPr>
            <w:r>
              <w:t xml:space="preserve">Health</w:t>
            </w:r>
          </w:p>
        </w:tc>
        <w:tc>
          <w:tcPr/>
          <w:p>
            <w:pPr>
              <w:pStyle w:val="Compact"/>
              <w:jc w:val="left"/>
            </w:pPr>
            <w:r>
              <w:t xml:space="preserve">Cantaloupe image server is responding</w:t>
            </w:r>
          </w:p>
        </w:tc>
      </w:tr>
      <w:tr>
        <w:tc>
          <w:tcPr/>
          <w:p>
            <w:pPr>
              <w:pStyle w:val="Compact"/>
              <w:jc w:val="left"/>
            </w:pPr>
            <w:r>
              <w:rPr>
                <w:rStyle w:val="VerbatimChar"/>
              </w:rPr>
              <w:t xml:space="preserve">derivatives_exist</w:t>
            </w:r>
          </w:p>
        </w:tc>
        <w:tc>
          <w:tcPr/>
          <w:p>
            <w:pPr>
              <w:pStyle w:val="Compact"/>
              <w:jc w:val="left"/>
            </w:pPr>
            <w:r>
              <w:t xml:space="preserve">Required</w:t>
            </w:r>
          </w:p>
        </w:tc>
        <w:tc>
          <w:tcPr/>
          <w:p>
            <w:pPr>
              <w:pStyle w:val="Compact"/>
              <w:jc w:val="left"/>
            </w:pPr>
            <w:r>
              <w:t xml:space="preserve">Digital object files exist on disk</w:t>
            </w:r>
          </w:p>
        </w:tc>
      </w:tr>
    </w:tbl>
    <w:bookmarkEnd w:id="26"/>
    <w:bookmarkStart w:id="30" w:name="architecture"/>
    <w:p>
      <w:pPr>
        <w:pStyle w:val="Heading2"/>
      </w:pPr>
      <w:r>
        <w:t xml:space="preserve">Architecture</w:t>
      </w:r>
    </w:p>
    <w:bookmarkStart w:id="27" w:name="database-tables"/>
    <w:p>
      <w:pPr>
        <w:pStyle w:val="Heading3"/>
      </w:pPr>
      <w:r>
        <w:t xml:space="preserve">Database Tables</w:t>
      </w:r>
    </w:p>
    <w:p>
      <w:pPr>
        <w:numPr>
          <w:ilvl w:val="0"/>
          <w:numId w:val="1005"/>
        </w:numPr>
        <w:pStyle w:val="Compact"/>
      </w:pPr>
      <w:r>
        <w:rPr>
          <w:rStyle w:val="VerbatimChar"/>
        </w:rPr>
        <w:t xml:space="preserve">iiif_validation_result</w:t>
      </w:r>
      <w:r>
        <w:t xml:space="preserve"> </w:t>
      </w:r>
      <w:r>
        <w:t xml:space="preserve">— Stores validation results per object per check</w:t>
      </w:r>
    </w:p>
    <w:bookmarkEnd w:id="27"/>
    <w:bookmarkStart w:id="28" w:name="services"/>
    <w:p>
      <w:pPr>
        <w:pStyle w:val="Heading3"/>
      </w:pPr>
      <w:r>
        <w:t xml:space="preserve">Services</w:t>
      </w:r>
    </w:p>
    <w:p>
      <w:pPr>
        <w:numPr>
          <w:ilvl w:val="0"/>
          <w:numId w:val="1006"/>
        </w:numPr>
        <w:pStyle w:val="Compact"/>
      </w:pPr>
      <w:r>
        <w:rPr>
          <w:rStyle w:val="VerbatimChar"/>
        </w:rPr>
        <w:t xml:space="preserve">IiifValidationService</w:t>
      </w:r>
      <w:r>
        <w:t xml:space="preserve"> </w:t>
      </w:r>
      <w:r>
        <w:t xml:space="preserve">— Manifest validation, derivative checking, batch QC</w:t>
      </w:r>
    </w:p>
    <w:p>
      <w:pPr>
        <w:numPr>
          <w:ilvl w:val="0"/>
          <w:numId w:val="1006"/>
        </w:numPr>
        <w:pStyle w:val="Compact"/>
      </w:pPr>
      <w:r>
        <w:rPr>
          <w:rStyle w:val="VerbatimChar"/>
        </w:rPr>
        <w:t xml:space="preserve">IiifManifestV3Service</w:t>
      </w:r>
      <w:r>
        <w:t xml:space="preserve"> </w:t>
      </w:r>
      <w:r>
        <w:t xml:space="preserve">— Enhanced with rights, provider, seeAlso, ImageService3</w:t>
      </w:r>
    </w:p>
    <w:bookmarkEnd w:id="28"/>
    <w:bookmarkStart w:id="29" w:name="access-points"/>
    <w:p>
      <w:pPr>
        <w:pStyle w:val="Heading3"/>
      </w:pPr>
      <w:r>
        <w:t xml:space="preserve">Access Points</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URL</w:t>
            </w:r>
          </w:p>
        </w:tc>
        <w:tc>
          <w:tcPr/>
          <w:p>
            <w:pPr>
              <w:pStyle w:val="Compact"/>
              <w:jc w:val="left"/>
            </w:pPr>
            <w:r>
              <w:t xml:space="preserve">Purpose</w:t>
            </w:r>
          </w:p>
        </w:tc>
      </w:tr>
      <w:tr>
        <w:tc>
          <w:tcPr/>
          <w:p>
            <w:pPr>
              <w:pStyle w:val="Compact"/>
              <w:jc w:val="left"/>
            </w:pPr>
            <w:r>
              <w:rPr>
                <w:rStyle w:val="VerbatimChar"/>
              </w:rPr>
              <w:t xml:space="preserve">/admin/iiif-validation</w:t>
            </w:r>
          </w:p>
        </w:tc>
        <w:tc>
          <w:tcPr/>
          <w:p>
            <w:pPr>
              <w:pStyle w:val="Compact"/>
              <w:jc w:val="left"/>
            </w:pPr>
            <w:r>
              <w:t xml:space="preserve">IIIF validation dashboard</w:t>
            </w:r>
          </w:p>
        </w:tc>
      </w:tr>
      <w:tr>
        <w:tc>
          <w:tcPr/>
          <w:p>
            <w:pPr>
              <w:pStyle w:val="Compact"/>
              <w:jc w:val="left"/>
            </w:pPr>
            <w:r>
              <w:rPr>
                <w:rStyle w:val="VerbatimChar"/>
              </w:rPr>
              <w:t xml:space="preserve">/admin/iiif-validation/run/:id</w:t>
            </w:r>
          </w:p>
        </w:tc>
        <w:tc>
          <w:tcPr/>
          <w:p>
            <w:pPr>
              <w:pStyle w:val="Compact"/>
              <w:jc w:val="left"/>
            </w:pPr>
            <w:r>
              <w:t xml:space="preserve">Run validation for specific object (AJAX)</w:t>
            </w:r>
          </w:p>
        </w:tc>
      </w:tr>
      <w:tr>
        <w:tc>
          <w:tcPr/>
          <w:p>
            <w:pPr>
              <w:pStyle w:val="Compact"/>
              <w:jc w:val="left"/>
            </w:pPr>
            <w:r>
              <w:rPr>
                <w:rStyle w:val="VerbatimChar"/>
              </w:rPr>
              <w:t xml:space="preserve">/iiif/v3/manifest/:slug</w:t>
            </w:r>
          </w:p>
        </w:tc>
        <w:tc>
          <w:tcPr/>
          <w:p>
            <w:pPr>
              <w:pStyle w:val="Compact"/>
              <w:jc w:val="left"/>
            </w:pPr>
            <w:r>
              <w:t xml:space="preserve">Enhanced v3 manifest (now with rights, provider, seeAlso)</w:t>
            </w:r>
          </w:p>
        </w:tc>
      </w:tr>
    </w:tbl>
    <w:bookmarkEnd w:id="29"/>
    <w:bookmarkEnd w:id="30"/>
    <w:bookmarkStart w:id="31" w:name="sample-manifest-output-new-fields"/>
    <w:p>
      <w:pPr>
        <w:pStyle w:val="Heading2"/>
      </w:pPr>
      <w:r>
        <w:t xml:space="preserve">Sample Manifest Output (New Fields)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"http://iiif.io/api/presentation/3/context.json"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"Manifest"</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"https://creativecommons.org/licenses/by/4.0/"</w:t>
      </w:r>
      <w:r>
        <w:rPr>
          <w:rStyle w:val="FunctionTok"/>
        </w:rPr>
        <w:t xml:space="preserve">,</w:t>
      </w:r>
      <w:r>
        <w:br/>
      </w:r>
      <w:r>
        <w:rPr>
          <w:rStyle w:val="NormalTok"/>
        </w:rPr>
        <w:t xml:space="preserve">  </w:t>
      </w:r>
      <w:r>
        <w:rPr>
          <w:rStyle w:val="DataTypeTok"/>
        </w:rPr>
        <w:t xml:space="preserve">"requiredStatement"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FunctionTok"/>
        </w:rPr>
        <w:t xml:space="preserve">{</w:t>
      </w:r>
      <w:r>
        <w:rPr>
          <w:rStyle w:val="DataTypeTok"/>
        </w:rPr>
        <w:t xml:space="preserve">"en"</w:t>
      </w:r>
      <w:r>
        <w:rPr>
          <w:rStyle w:val="FunctionTok"/>
        </w:rPr>
        <w:t xml:space="preserve">:</w:t>
      </w:r>
      <w:r>
        <w:rPr>
          <w:rStyle w:val="NormalTok"/>
        </w:rPr>
        <w:t xml:space="preserve"> </w:t>
      </w:r>
      <w:r>
        <w:rPr>
          <w:rStyle w:val="OtherTok"/>
        </w:rPr>
        <w:t xml:space="preserve">[</w:t>
      </w:r>
      <w:r>
        <w:rPr>
          <w:rStyle w:val="StringTok"/>
        </w:rPr>
        <w:t xml:space="preserve">"Attribution"</w:t>
      </w:r>
      <w:r>
        <w:rPr>
          <w:rStyle w:val="OtherTok"/>
        </w:rPr>
        <w:t xml:space="preserv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"en"</w:t>
      </w:r>
      <w:r>
        <w:rPr>
          <w:rStyle w:val="FunctionTok"/>
        </w:rPr>
        <w:t xml:space="preserve">:</w:t>
      </w:r>
      <w:r>
        <w:rPr>
          <w:rStyle w:val="NormalTok"/>
        </w:rPr>
        <w:t xml:space="preserve"> </w:t>
      </w:r>
      <w:r>
        <w:rPr>
          <w:rStyle w:val="OtherTok"/>
        </w:rPr>
        <w:t xml:space="preserve">[</w:t>
      </w:r>
      <w:r>
        <w:rPr>
          <w:rStyle w:val="StringTok"/>
        </w:rPr>
        <w:t xml:space="preserve">"National Archives of South Africa"</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"https://example.org/repository-slug"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FunctionTok"/>
        </w:rPr>
        <w:t xml:space="preserve">{</w:t>
      </w:r>
      <w:r>
        <w:rPr>
          <w:rStyle w:val="DataTypeTok"/>
        </w:rPr>
        <w:t xml:space="preserve">"en"</w:t>
      </w:r>
      <w:r>
        <w:rPr>
          <w:rStyle w:val="FunctionTok"/>
        </w:rPr>
        <w:t xml:space="preserve">:</w:t>
      </w:r>
      <w:r>
        <w:rPr>
          <w:rStyle w:val="NormalTok"/>
        </w:rPr>
        <w:t xml:space="preserve"> </w:t>
      </w:r>
      <w:r>
        <w:rPr>
          <w:rStyle w:val="OtherTok"/>
        </w:rPr>
        <w:t xml:space="preserve">[</w:t>
      </w:r>
      <w:r>
        <w:rPr>
          <w:rStyle w:val="StringTok"/>
        </w:rPr>
        <w:t xml:space="preserve">"National Archives of South Africa"</w:t>
      </w:r>
      <w:r>
        <w:rPr>
          <w:rStyle w:val="OtherTok"/>
        </w:rPr>
        <w:t xml:space="preserve">]</w:t>
      </w:r>
      <w:r>
        <w:rPr>
          <w:rStyle w:val="FunctionTok"/>
        </w:rPr>
        <w:t xml:space="preserve">},</w:t>
      </w:r>
      <w:r>
        <w:br/>
      </w:r>
      <w:r>
        <w:rPr>
          <w:rStyle w:val="NormalTok"/>
        </w:rPr>
        <w:t xml:space="preserve">    </w:t>
      </w:r>
      <w:r>
        <w:rPr>
          <w:rStyle w:val="DataTypeTok"/>
        </w:rPr>
        <w:t xml:space="preserve">"homepage"</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"https://example.org"</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"seeAlso"</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"https://example.org/record-slug"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"text/html"</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"thumbnail"</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267</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"ImageService2"</w:t>
      </w:r>
      <w:r>
        <w:rPr>
          <w:rStyle w:val="FunctionTok"/>
        </w:rPr>
        <w:t xml:space="preserve">,</w:t>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"level2"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"ImageService3"</w:t>
      </w:r>
      <w:r>
        <w:rPr>
          <w:rStyle w:val="FunctionTok"/>
        </w:rPr>
        <w:t xml:space="preserve">,</w:t>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"level2"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31"/>
    <w:bookmarkStart w:id="32" w:name="technical-requirements"/>
    <w:p>
      <w:pPr>
        <w:pStyle w:val="Heading2"/>
      </w:pPr>
      <w:r>
        <w:t xml:space="preserve">Technical Requirements</w:t>
      </w:r>
    </w:p>
    <w:p>
      <w:pPr>
        <w:numPr>
          <w:ilvl w:val="0"/>
          <w:numId w:val="1007"/>
        </w:numPr>
        <w:pStyle w:val="Compact"/>
      </w:pPr>
      <w:r>
        <w:t xml:space="preserve">PHP 8.1+</w:t>
      </w:r>
    </w:p>
    <w:p>
      <w:pPr>
        <w:numPr>
          <w:ilvl w:val="0"/>
          <w:numId w:val="1007"/>
        </w:numPr>
        <w:pStyle w:val="Compact"/>
      </w:pPr>
      <w:r>
        <w:t xml:space="preserve">MySQL 8.0+</w:t>
      </w:r>
    </w:p>
    <w:p>
      <w:pPr>
        <w:numPr>
          <w:ilvl w:val="0"/>
          <w:numId w:val="1007"/>
        </w:numPr>
        <w:pStyle w:val="Compact"/>
      </w:pPr>
      <w:r>
        <w:t xml:space="preserve">AtoM Heratio Framework v2.8.2+</w:t>
      </w:r>
    </w:p>
    <w:p>
      <w:pPr>
        <w:numPr>
          <w:ilvl w:val="0"/>
          <w:numId w:val="1007"/>
        </w:numPr>
        <w:pStyle w:val="Compact"/>
      </w:pPr>
      <w:r>
        <w:t xml:space="preserve">ahgIiifPlugin (required)</w:t>
      </w:r>
    </w:p>
    <w:p>
      <w:pPr>
        <w:numPr>
          <w:ilvl w:val="0"/>
          <w:numId w:val="1007"/>
        </w:numPr>
        <w:pStyle w:val="Compact"/>
      </w:pPr>
      <w:r>
        <w:t xml:space="preserve">Cantaloupe IIIF Image Server (recommended for full functionality)</w:t>
      </w:r>
    </w:p>
    <w:p>
      <w:pPr>
        <w:numPr>
          <w:ilvl w:val="0"/>
          <w:numId w:val="1007"/>
        </w:numPr>
        <w:pStyle w:val="Compact"/>
      </w:pPr>
      <w:r>
        <w:t xml:space="preserve">ahgWorkflowPlugin (optional, for publish gate integration)</w:t>
      </w:r>
    </w:p>
    <w:bookmarkEnd w:id="32"/>
    <w:bookmarkStart w:id="33" w:name="standards-compliance"/>
    <w:p>
      <w:pPr>
        <w:pStyle w:val="Heading2"/>
      </w:pPr>
      <w:r>
        <w:t xml:space="preserve">Standards Compliance</w:t>
      </w:r>
    </w:p>
    <w:p>
      <w:pPr>
        <w:numPr>
          <w:ilvl w:val="0"/>
          <w:numId w:val="1008"/>
        </w:numPr>
        <w:pStyle w:val="Compact"/>
      </w:pPr>
      <w:r>
        <w:t xml:space="preserve">IIIF Presentation API 3.0</w:t>
      </w:r>
    </w:p>
    <w:p>
      <w:pPr>
        <w:numPr>
          <w:ilvl w:val="0"/>
          <w:numId w:val="1008"/>
        </w:numPr>
        <w:pStyle w:val="Compact"/>
      </w:pPr>
      <w:r>
        <w:t xml:space="preserve">IIIF Image API 2.1 and 3.0 (dual service declaration)</w:t>
      </w:r>
    </w:p>
    <w:p>
      <w:pPr>
        <w:numPr>
          <w:ilvl w:val="0"/>
          <w:numId w:val="1008"/>
        </w:numPr>
        <w:pStyle w:val="Compact"/>
      </w:pPr>
      <w:r>
        <w:t xml:space="preserve">Creative Commons license URIs</w:t>
      </w:r>
    </w:p>
    <w:p>
      <w:pPr>
        <w:numPr>
          <w:ilvl w:val="0"/>
          <w:numId w:val="1008"/>
        </w:numPr>
        <w:pStyle w:val="Compact"/>
      </w:pPr>
      <w:r>
        <w:t xml:space="preserve">RightsStatements.org vocabulary</w:t>
      </w:r>
    </w:p>
    <w:p>
      <w:pPr>
        <w:numPr>
          <w:ilvl w:val="0"/>
          <w:numId w:val="1008"/>
        </w:numPr>
        <w:pStyle w:val="Compact"/>
      </w:pPr>
      <w:r>
        <w:t xml:space="preserve">W3C Web Annotation Data Model (existing annotation support)</w:t>
      </w:r>
    </w:p>
    <w:p>
      <w:r>
        <w:pict>
          <v:rect style="width:0;height:1.5pt" o:hralign="center" o:hrstd="t" o:hr="t"/>
        </w:pict>
      </w:r>
    </w:p>
    <w:p>
      <w:pPr>
        <w:pStyle w:val="FirstParagraph"/>
      </w:pPr>
      <w:r>
        <w:rPr>
          <w:iCs/>
          <w:i/>
        </w:rPr>
        <w:t xml:space="preserve">The Archive and Heritage Group (Pty) Ltd</w:t>
      </w:r>
      <w:r>
        <w:t xml:space="preserve"> </w:t>
      </w:r>
      <w:r>
        <w:rPr>
          <w:iCs/>
          <w:i/>
        </w:rPr>
        <w:t xml:space="preserve">https://github.com/ArchiveHeritageGroup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IIIF Compliance Hardening</dc:title>
  <dc:creator>The Archive and Heritage Group (Pty) Ltd</dc:creator>
  <cp:keywords/>
  <dcterms:created xsi:type="dcterms:W3CDTF">2026-02-28T08:16:48Z</dcterms:created>
  <dcterms:modified xsi:type="dcterms:W3CDTF">2026-02-28T08:16:48Z</dcterms:modified>
</cp:coreProperties>
</file>

<file path=docProps/custom.xml><?xml version="1.0" encoding="utf-8"?>
<Properties xmlns="http://schemas.openxmlformats.org/officeDocument/2006/custom-properties" xmlns:vt="http://schemas.openxmlformats.org/officeDocument/2006/docPropsVTypes"/>
</file>