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- Authority Records Feature Overview</w:t>
      </w:r>
    </w:p>
    <w:p>
      <w:pPr>
        <w:pStyle w:val="Author"/>
      </w:pPr>
      <w:r>
        <w:t xml:space="preserve">The Archive and Heritage Group (Pty) Ltd</w:t>
      </w:r>
    </w:p>
    <w:bookmarkStart w:id="40" w:name="X4f454d1f8d78982655f90f7e872a7bf4ccef6e0"/>
    <w:p>
      <w:pPr>
        <w:pStyle w:val="Heading1"/>
      </w:pPr>
      <w:r>
        <w:t xml:space="preserve">AtoM Heratio — Authority Records Enhancement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Plugin:</w:t>
      </w:r>
      <w:r>
        <w:t xml:space="preserve"> </w:t>
      </w:r>
      <w:r>
        <w:t xml:space="preserve">ahgAuthorityPlugin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Compatibility:</w:t>
      </w:r>
      <w:r>
        <w:t xml:space="preserve"> </w:t>
      </w:r>
      <w:r>
        <w:t xml:space="preserve">AtoM Heratio Framework v2.8+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Authority Records Enhancement</w:t>
      </w:r>
      <w:r>
        <w:t xml:space="preserve"> </w:t>
      </w:r>
      <w:r>
        <w:t xml:space="preserve">plugin delivers comprehensive authority record management for GLAM and DAM institutions. It extends AtoM’s existing authority record functionality with external authority file linking, completeness scoring, NER-to-authority pipelines, merge/dedup workflows, structured occupations, ISDF function linking, relationship visualization, and enriched EAC-CPF export.</w:t>
      </w:r>
    </w:p>
    <w:p>
      <w:pPr>
        <w:pStyle w:val="BodyText"/>
      </w:pPr>
      <w:r>
        <w:t xml:space="preserve">The plugin addresses 10 enhancement areas that collectively transform authority records from passive metadata into actively managed, quality-assured, and internationally linked entities.</w:t>
      </w:r>
    </w:p>
    <w:p>
      <w:r>
        <w:pict>
          <v:rect style="width:0;height:1.5pt" o:hralign="center" o:hrstd="t" o:hr="t"/>
        </w:pict>
      </w:r>
    </w:p>
    <w:bookmarkEnd w:id="20"/>
    <w:bookmarkStart w:id="31" w:name="key-features"/>
    <w:p>
      <w:pPr>
        <w:pStyle w:val="Heading2"/>
      </w:pPr>
      <w:r>
        <w:t xml:space="preserve">Key Features</w:t>
      </w:r>
    </w:p>
    <w:bookmarkStart w:id="21" w:name="X85c1a29f8d48aaac597a3fe56e8401a5c058a48"/>
    <w:p>
      <w:pPr>
        <w:pStyle w:val="Heading3"/>
      </w:pPr>
      <w:r>
        <w:t xml:space="preserve">1. External Authority Linking (Wikidata, VIAF, ULAN, LCNAF, ISNI)</w:t>
      </w:r>
    </w:p>
    <w:p>
      <w:pPr>
        <w:numPr>
          <w:ilvl w:val="0"/>
          <w:numId w:val="1001"/>
        </w:numPr>
        <w:pStyle w:val="Compact"/>
      </w:pPr>
      <w:r>
        <w:t xml:space="preserve">Link authority records to international authority files</w:t>
      </w:r>
    </w:p>
    <w:p>
      <w:pPr>
        <w:numPr>
          <w:ilvl w:val="0"/>
          <w:numId w:val="1001"/>
        </w:numPr>
        <w:pStyle w:val="Compact"/>
      </w:pPr>
      <w:r>
        <w:t xml:space="preserve">Server-side search proxy for each authority source (avoids CORS issues)</w:t>
      </w:r>
    </w:p>
    <w:p>
      <w:pPr>
        <w:numPr>
          <w:ilvl w:val="0"/>
          <w:numId w:val="1001"/>
        </w:numPr>
        <w:pStyle w:val="Compact"/>
      </w:pPr>
      <w:r>
        <w:t xml:space="preserve">Automatic URI construction from identifier values</w:t>
      </w:r>
    </w:p>
    <w:p>
      <w:pPr>
        <w:numPr>
          <w:ilvl w:val="0"/>
          <w:numId w:val="1001"/>
        </w:numPr>
        <w:pStyle w:val="Compact"/>
      </w:pPr>
      <w:r>
        <w:t xml:space="preserve">Verification workflow with timestamps and user attribution</w:t>
      </w:r>
    </w:p>
    <w:p>
      <w:pPr>
        <w:numPr>
          <w:ilvl w:val="0"/>
          <w:numId w:val="1001"/>
        </w:numPr>
        <w:pStyle w:val="Compact"/>
      </w:pPr>
      <w:r>
        <w:t xml:space="preserve">Support for manual entry, reconciliation, and import sources</w:t>
      </w:r>
    </w:p>
    <w:p>
      <w:pPr>
        <w:numPr>
          <w:ilvl w:val="0"/>
          <w:numId w:val="1001"/>
        </w:numPr>
        <w:pStyle w:val="Compact"/>
      </w:pPr>
      <w:r>
        <w:t xml:space="preserve">Unique constraint: one identifier per type per actor</w:t>
      </w:r>
    </w:p>
    <w:bookmarkEnd w:id="21"/>
    <w:bookmarkStart w:id="22" w:name="completeness-quality-dashboard"/>
    <w:p>
      <w:pPr>
        <w:pStyle w:val="Heading3"/>
      </w:pPr>
      <w:r>
        <w:t xml:space="preserve">2. Completeness &amp; Quality Dashboard</w:t>
      </w:r>
    </w:p>
    <w:p>
      <w:pPr>
        <w:numPr>
          <w:ilvl w:val="0"/>
          <w:numId w:val="1002"/>
        </w:numPr>
        <w:pStyle w:val="Compact"/>
      </w:pPr>
      <w:r>
        <w:t xml:space="preserve">Automated completeness scoring (0-100) based on 17 ISAAR(CPF) fields</w:t>
      </w:r>
    </w:p>
    <w:p>
      <w:pPr>
        <w:numPr>
          <w:ilvl w:val="0"/>
          <w:numId w:val="1002"/>
        </w:numPr>
        <w:pStyle w:val="Compact"/>
      </w:pPr>
      <w:r>
        <w:t xml:space="preserve">Four quality levels: Stub, Minimal, Partial, Full</w:t>
      </w:r>
    </w:p>
    <w:p>
      <w:pPr>
        <w:numPr>
          <w:ilvl w:val="0"/>
          <w:numId w:val="1002"/>
        </w:numPr>
        <w:pStyle w:val="Compact"/>
      </w:pPr>
      <w:r>
        <w:t xml:space="preserve">Bonus scoring for external identifiers, relations, linked resources, and contacts</w:t>
      </w:r>
    </w:p>
    <w:p>
      <w:pPr>
        <w:numPr>
          <w:ilvl w:val="0"/>
          <w:numId w:val="1002"/>
        </w:numPr>
        <w:pStyle w:val="Compact"/>
      </w:pPr>
      <w:r>
        <w:t xml:space="preserve">KPI dashboard with breakdown by level and entity type</w:t>
      </w:r>
    </w:p>
    <w:p>
      <w:pPr>
        <w:numPr>
          <w:ilvl w:val="0"/>
          <w:numId w:val="1002"/>
        </w:numPr>
        <w:pStyle w:val="Compact"/>
      </w:pPr>
      <w:r>
        <w:t xml:space="preserve">Assignable workqueue for archivist-driven quality improvement</w:t>
      </w:r>
    </w:p>
    <w:p>
      <w:pPr>
        <w:numPr>
          <w:ilvl w:val="0"/>
          <w:numId w:val="1002"/>
        </w:numPr>
        <w:pStyle w:val="Compact"/>
      </w:pPr>
      <w:r>
        <w:t xml:space="preserve">Batch and on-demand recalculation</w:t>
      </w:r>
    </w:p>
    <w:bookmarkEnd w:id="22"/>
    <w:bookmarkStart w:id="23" w:name="ner-to-authority-pipeline"/>
    <w:p>
      <w:pPr>
        <w:pStyle w:val="Heading3"/>
      </w:pPr>
      <w:r>
        <w:t xml:space="preserve">3. NER-to-Authority Pipeline</w:t>
      </w:r>
    </w:p>
    <w:p>
      <w:pPr>
        <w:numPr>
          <w:ilvl w:val="0"/>
          <w:numId w:val="1003"/>
        </w:numPr>
        <w:pStyle w:val="Compact"/>
      </w:pPr>
      <w:r>
        <w:t xml:space="preserve">Bridges Named Entity Recognition output to authority record creation</w:t>
      </w:r>
    </w:p>
    <w:p>
      <w:pPr>
        <w:numPr>
          <w:ilvl w:val="0"/>
          <w:numId w:val="1003"/>
        </w:numPr>
        <w:pStyle w:val="Compact"/>
      </w:pPr>
      <w:r>
        <w:t xml:space="preserve">Confidence-based filtering (configurable threshold, default 0.85)</w:t>
      </w:r>
    </w:p>
    <w:p>
      <w:pPr>
        <w:numPr>
          <w:ilvl w:val="0"/>
          <w:numId w:val="1003"/>
        </w:numPr>
        <w:pStyle w:val="Compact"/>
      </w:pPr>
      <w:r>
        <w:t xml:space="preserve">Duplicate detection against existing actors before stub creation</w:t>
      </w:r>
    </w:p>
    <w:p>
      <w:pPr>
        <w:numPr>
          <w:ilvl w:val="0"/>
          <w:numId w:val="1003"/>
        </w:numPr>
        <w:pStyle w:val="Compact"/>
      </w:pPr>
      <w:r>
        <w:t xml:space="preserve">Review queue with promote/reject workflow</w:t>
      </w:r>
    </w:p>
    <w:p>
      <w:pPr>
        <w:numPr>
          <w:ilvl w:val="0"/>
          <w:numId w:val="1003"/>
        </w:numPr>
        <w:pStyle w:val="Compact"/>
      </w:pPr>
      <w:r>
        <w:t xml:space="preserve">Entity types: PERSON, ORG, GPE (geographic/political entities)</w:t>
      </w:r>
    </w:p>
    <w:p>
      <w:pPr>
        <w:numPr>
          <w:ilvl w:val="0"/>
          <w:numId w:val="1003"/>
        </w:numPr>
        <w:pStyle w:val="Compact"/>
      </w:pPr>
      <w:r>
        <w:t xml:space="preserve">Integrates with ahgAIPlugin’s NER infrastructure</w:t>
      </w:r>
    </w:p>
    <w:bookmarkEnd w:id="23"/>
    <w:bookmarkStart w:id="24" w:name="relationship-graph-visualization"/>
    <w:p>
      <w:pPr>
        <w:pStyle w:val="Heading3"/>
      </w:pPr>
      <w:r>
        <w:t xml:space="preserve">4. Relationship Graph Visualization</w:t>
      </w:r>
    </w:p>
    <w:p>
      <w:pPr>
        <w:numPr>
          <w:ilvl w:val="0"/>
          <w:numId w:val="1004"/>
        </w:numPr>
        <w:pStyle w:val="Compact"/>
      </w:pPr>
      <w:r>
        <w:t xml:space="preserve">Interactive agent-to-agent relationship graph using Cytoscape.js</w:t>
      </w:r>
    </w:p>
    <w:p>
      <w:pPr>
        <w:numPr>
          <w:ilvl w:val="0"/>
          <w:numId w:val="1004"/>
        </w:numPr>
        <w:pStyle w:val="Compact"/>
      </w:pPr>
      <w:r>
        <w:t xml:space="preserve">Configurable depth traversal (1-3 levels)</w:t>
      </w:r>
    </w:p>
    <w:p>
      <w:pPr>
        <w:numPr>
          <w:ilvl w:val="0"/>
          <w:numId w:val="1004"/>
        </w:numPr>
        <w:pStyle w:val="Compact"/>
      </w:pPr>
      <w:r>
        <w:t xml:space="preserve">Color-coded relationship types (associative, hierarchical, temporal, family)</w:t>
      </w:r>
    </w:p>
    <w:p>
      <w:pPr>
        <w:numPr>
          <w:ilvl w:val="0"/>
          <w:numId w:val="1004"/>
        </w:numPr>
        <w:pStyle w:val="Compact"/>
      </w:pPr>
      <w:r>
        <w:t xml:space="preserve">Embeddable panel for authority record view pages</w:t>
      </w:r>
    </w:p>
    <w:p>
      <w:pPr>
        <w:numPr>
          <w:ilvl w:val="0"/>
          <w:numId w:val="1004"/>
        </w:numPr>
        <w:pStyle w:val="Compact"/>
      </w:pPr>
      <w:r>
        <w:t xml:space="preserve">Graph data exposed via JSON API endpoint</w:t>
      </w:r>
    </w:p>
    <w:bookmarkEnd w:id="24"/>
    <w:bookmarkStart w:id="25" w:name="isdf-function-linking"/>
    <w:p>
      <w:pPr>
        <w:pStyle w:val="Heading3"/>
      </w:pPr>
      <w:r>
        <w:t xml:space="preserve">5. ISDF Function Linking</w:t>
      </w:r>
    </w:p>
    <w:p>
      <w:pPr>
        <w:numPr>
          <w:ilvl w:val="0"/>
          <w:numId w:val="1005"/>
        </w:numPr>
        <w:pStyle w:val="Compact"/>
      </w:pPr>
      <w:r>
        <w:t xml:space="preserve">Structured actor-to-function links with relation types (responsible, participates, authorizes)</w:t>
      </w:r>
    </w:p>
    <w:p>
      <w:pPr>
        <w:numPr>
          <w:ilvl w:val="0"/>
          <w:numId w:val="1005"/>
        </w:numPr>
        <w:pStyle w:val="Compact"/>
      </w:pPr>
      <w:r>
        <w:t xml:space="preserve">Date range support for temporal function assignments</w:t>
      </w:r>
    </w:p>
    <w:p>
      <w:pPr>
        <w:numPr>
          <w:ilvl w:val="0"/>
          <w:numId w:val="1005"/>
        </w:numPr>
        <w:pStyle w:val="Compact"/>
      </w:pPr>
      <w:r>
        <w:t xml:space="preserve">Browse actors by function</w:t>
      </w:r>
    </w:p>
    <w:p>
      <w:pPr>
        <w:numPr>
          <w:ilvl w:val="0"/>
          <w:numId w:val="1005"/>
        </w:numPr>
        <w:pStyle w:val="Compact"/>
      </w:pPr>
      <w:r>
        <w:t xml:space="preserve">Sync validation CLI task for orphaned link cleanup</w:t>
      </w:r>
    </w:p>
    <w:p>
      <w:pPr>
        <w:numPr>
          <w:ilvl w:val="0"/>
          <w:numId w:val="1005"/>
        </w:numPr>
        <w:pStyle w:val="Compact"/>
      </w:pPr>
      <w:r>
        <w:t xml:space="preserve">Integrates with ahgFunctionManagePlugin when available</w:t>
      </w:r>
    </w:p>
    <w:bookmarkEnd w:id="25"/>
    <w:bookmarkStart w:id="26" w:name="structured-occupations"/>
    <w:p>
      <w:pPr>
        <w:pStyle w:val="Heading3"/>
      </w:pPr>
      <w:r>
        <w:t xml:space="preserve">6. Structured Occupations</w:t>
      </w:r>
    </w:p>
    <w:p>
      <w:pPr>
        <w:numPr>
          <w:ilvl w:val="0"/>
          <w:numId w:val="1006"/>
        </w:numPr>
        <w:pStyle w:val="Compact"/>
      </w:pPr>
      <w:r>
        <w:t xml:space="preserve">Replace free-text occupations with structured, date-ranged entries</w:t>
      </w:r>
    </w:p>
    <w:p>
      <w:pPr>
        <w:numPr>
          <w:ilvl w:val="0"/>
          <w:numId w:val="1006"/>
        </w:numPr>
        <w:pStyle w:val="Compact"/>
      </w:pPr>
      <w:r>
        <w:t xml:space="preserve">Optional taxonomy term linking for controlled vocabulary</w:t>
      </w:r>
    </w:p>
    <w:p>
      <w:pPr>
        <w:numPr>
          <w:ilvl w:val="0"/>
          <w:numId w:val="1006"/>
        </w:numPr>
        <w:pStyle w:val="Compact"/>
      </w:pPr>
      <w:r>
        <w:t xml:space="preserve">Timeline display on authority record view</w:t>
      </w:r>
    </w:p>
    <w:p>
      <w:pPr>
        <w:numPr>
          <w:ilvl w:val="0"/>
          <w:numId w:val="1006"/>
        </w:numPr>
        <w:pStyle w:val="Compact"/>
      </w:pPr>
      <w:r>
        <w:t xml:space="preserve">Sort ordering for occupation history</w:t>
      </w:r>
    </w:p>
    <w:bookmarkEnd w:id="26"/>
    <w:bookmarkStart w:id="27" w:name="merge-split-workflow"/>
    <w:p>
      <w:pPr>
        <w:pStyle w:val="Heading3"/>
      </w:pPr>
      <w:r>
        <w:t xml:space="preserve">7. Merge &amp; Split Workflow</w:t>
      </w:r>
    </w:p>
    <w:p>
      <w:pPr>
        <w:numPr>
          <w:ilvl w:val="0"/>
          <w:numId w:val="1007"/>
        </w:numPr>
        <w:pStyle w:val="Compact"/>
      </w:pPr>
      <w:r>
        <w:t xml:space="preserve">Side-by-side field comparison for merge candidates</w:t>
      </w:r>
    </w:p>
    <w:p>
      <w:pPr>
        <w:numPr>
          <w:ilvl w:val="0"/>
          <w:numId w:val="1007"/>
        </w:numPr>
        <w:pStyle w:val="Compact"/>
      </w:pPr>
      <w:r>
        <w:t xml:space="preserve">Configurable per-field choice (primary vs. secondary actor values)</w:t>
      </w:r>
    </w:p>
    <w:p>
      <w:pPr>
        <w:numPr>
          <w:ilvl w:val="0"/>
          <w:numId w:val="1007"/>
        </w:numPr>
        <w:pStyle w:val="Compact"/>
      </w:pPr>
      <w:r>
        <w:t xml:space="preserve">Automatic transfer of relations, resources, contacts, and identifiers</w:t>
      </w:r>
    </w:p>
    <w:p>
      <w:pPr>
        <w:numPr>
          <w:ilvl w:val="0"/>
          <w:numId w:val="1007"/>
        </w:numPr>
        <w:pStyle w:val="Compact"/>
      </w:pPr>
      <w:r>
        <w:t xml:space="preserve">Slug redirect from merged actor to survivor</w:t>
      </w:r>
    </w:p>
    <w:p>
      <w:pPr>
        <w:numPr>
          <w:ilvl w:val="0"/>
          <w:numId w:val="1007"/>
        </w:numPr>
        <w:pStyle w:val="Compact"/>
      </w:pPr>
      <w:r>
        <w:t xml:space="preserve">Optional approval workflow (integrates with ahgWorkflowPlugin)</w:t>
      </w:r>
    </w:p>
    <w:p>
      <w:pPr>
        <w:numPr>
          <w:ilvl w:val="0"/>
          <w:numId w:val="1007"/>
        </w:numPr>
        <w:pStyle w:val="Compact"/>
      </w:pPr>
      <w:r>
        <w:t xml:space="preserve">Merge history with reversal tracking</w:t>
      </w:r>
    </w:p>
    <w:bookmarkEnd w:id="27"/>
    <w:bookmarkStart w:id="28" w:name="bulk-deduplication"/>
    <w:p>
      <w:pPr>
        <w:pStyle w:val="Heading3"/>
      </w:pPr>
      <w:r>
        <w:t xml:space="preserve">8. Bulk Deduplication</w:t>
      </w:r>
    </w:p>
    <w:p>
      <w:pPr>
        <w:numPr>
          <w:ilvl w:val="0"/>
          <w:numId w:val="1008"/>
        </w:numPr>
        <w:pStyle w:val="Compact"/>
      </w:pPr>
      <w:r>
        <w:t xml:space="preserve">Name similarity detection using Jaro-Winkler algorithm</w:t>
      </w:r>
    </w:p>
    <w:p>
      <w:pPr>
        <w:numPr>
          <w:ilvl w:val="0"/>
          <w:numId w:val="1008"/>
        </w:numPr>
        <w:pStyle w:val="Compact"/>
      </w:pPr>
      <w:r>
        <w:t xml:space="preserve">Date overlap analysis for disambiguation</w:t>
      </w:r>
    </w:p>
    <w:p>
      <w:pPr>
        <w:numPr>
          <w:ilvl w:val="0"/>
          <w:numId w:val="1008"/>
        </w:numPr>
        <w:pStyle w:val="Compact"/>
      </w:pPr>
      <w:r>
        <w:t xml:space="preserve">Shared identifier boosting for high-confidence matches</w:t>
      </w:r>
    </w:p>
    <w:p>
      <w:pPr>
        <w:numPr>
          <w:ilvl w:val="0"/>
          <w:numId w:val="1008"/>
        </w:numPr>
        <w:pStyle w:val="Compact"/>
      </w:pPr>
      <w:r>
        <w:t xml:space="preserve">Configurable similarity threshold (default 0.80)</w:t>
      </w:r>
    </w:p>
    <w:p>
      <w:pPr>
        <w:numPr>
          <w:ilvl w:val="0"/>
          <w:numId w:val="1008"/>
        </w:numPr>
        <w:pStyle w:val="Compact"/>
      </w:pPr>
      <w:r>
        <w:t xml:space="preserve">Scan results dashboard with compare, merge, and dismiss actions</w:t>
      </w:r>
    </w:p>
    <w:p>
      <w:pPr>
        <w:numPr>
          <w:ilvl w:val="0"/>
          <w:numId w:val="1008"/>
        </w:numPr>
        <w:pStyle w:val="Compact"/>
      </w:pPr>
      <w:r>
        <w:t xml:space="preserve">CLI task for scheduled background scanning</w:t>
      </w:r>
    </w:p>
    <w:bookmarkEnd w:id="28"/>
    <w:bookmarkStart w:id="29" w:name="eac-cpf-export-enrichment"/>
    <w:p>
      <w:pPr>
        <w:pStyle w:val="Heading3"/>
      </w:pPr>
      <w:r>
        <w:t xml:space="preserve">9. EAC-CPF Export Enrichment</w:t>
      </w:r>
    </w:p>
    <w:p>
      <w:pPr>
        <w:numPr>
          <w:ilvl w:val="0"/>
          <w:numId w:val="1009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&lt;otherRecordId&gt;</w:t>
      </w:r>
      <w:r>
        <w:t xml:space="preserve"> </w:t>
      </w:r>
      <w:r>
        <w:t xml:space="preserve">elements for each external identifier</w:t>
      </w:r>
    </w:p>
    <w:p>
      <w:pPr>
        <w:numPr>
          <w:ilvl w:val="0"/>
          <w:numId w:val="1009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elements with URIs and labels</w:t>
      </w:r>
    </w:p>
    <w:p>
      <w:pPr>
        <w:numPr>
          <w:ilvl w:val="0"/>
          <w:numId w:val="1009"/>
        </w:numPr>
        <w:pStyle w:val="Compact"/>
      </w:pPr>
      <w:r>
        <w:t xml:space="preserve">Preserves standard EAC-CPF structure</w:t>
      </w:r>
    </w:p>
    <w:p>
      <w:pPr>
        <w:numPr>
          <w:ilvl w:val="0"/>
          <w:numId w:val="1009"/>
        </w:numPr>
        <w:pStyle w:val="Compact"/>
      </w:pPr>
      <w:r>
        <w:t xml:space="preserve">Integrates with ahgExportPlugin’s export pipeline</w:t>
      </w:r>
    </w:p>
    <w:bookmarkEnd w:id="29"/>
    <w:bookmarkStart w:id="30" w:name="contact-information-surfacing"/>
    <w:p>
      <w:pPr>
        <w:pStyle w:val="Heading3"/>
      </w:pPr>
      <w:r>
        <w:t xml:space="preserve">10. Contact Information Surfacing</w:t>
      </w:r>
    </w:p>
    <w:p>
      <w:pPr>
        <w:numPr>
          <w:ilvl w:val="0"/>
          <w:numId w:val="1010"/>
        </w:numPr>
        <w:pStyle w:val="Compact"/>
      </w:pPr>
      <w:r>
        <w:t xml:space="preserve">Surfaces contact details on authority record pages</w:t>
      </w:r>
    </w:p>
    <w:p>
      <w:pPr>
        <w:numPr>
          <w:ilvl w:val="0"/>
          <w:numId w:val="1010"/>
        </w:numPr>
        <w:pStyle w:val="Compact"/>
      </w:pPr>
      <w:r>
        <w:t xml:space="preserve">Delegates to ahgContactPlugin for data retrieval</w:t>
      </w:r>
    </w:p>
    <w:p>
      <w:pPr>
        <w:numPr>
          <w:ilvl w:val="0"/>
          <w:numId w:val="1010"/>
        </w:numPr>
        <w:pStyle w:val="Compact"/>
      </w:pPr>
      <w:r>
        <w:t xml:space="preserve">Displays address, telephone, email, and website information</w:t>
      </w:r>
    </w:p>
    <w:p>
      <w:pPr>
        <w:numPr>
          <w:ilvl w:val="0"/>
          <w:numId w:val="1010"/>
        </w:numPr>
        <w:pStyle w:val="Compact"/>
      </w:pPr>
      <w:r>
        <w:t xml:space="preserve">Respects existing contact data model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rchitecture"/>
    <w:p>
      <w:pPr>
        <w:pStyle w:val="Heading2"/>
      </w:pPr>
      <w:r>
        <w:t xml:space="preserve">Architecture</w:t>
      </w:r>
    </w:p>
    <w:bookmarkStart w:id="32" w:name="plugin-design"/>
    <w:p>
      <w:pPr>
        <w:pStyle w:val="Heading3"/>
      </w:pPr>
      <w:r>
        <w:t xml:space="preserve">Plugin Design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Non-invasive:</w:t>
      </w:r>
      <w:r>
        <w:t xml:space="preserve"> </w:t>
      </w:r>
      <w:r>
        <w:t xml:space="preserve">Layers on top of existing ahgActorManagePlugin without modifying locked plugins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Modular services:</w:t>
      </w:r>
      <w:r>
        <w:t xml:space="preserve"> </w:t>
      </w:r>
      <w:r>
        <w:t xml:space="preserve">10 dedicated service classes with clear single responsibilities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Optional dependencies:</w:t>
      </w:r>
      <w:r>
        <w:t xml:space="preserve"> </w:t>
      </w:r>
      <w:r>
        <w:t xml:space="preserve">Gracefully degrades when optional plugins are absent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Database isolation:</w:t>
      </w:r>
      <w:r>
        <w:t xml:space="preserve"> </w:t>
      </w:r>
      <w:r>
        <w:t xml:space="preserve">7 new tables, zero modifications to core AtoM schema</w:t>
      </w:r>
    </w:p>
    <w:bookmarkEnd w:id="32"/>
    <w:bookmarkStart w:id="33" w:name="database-tables"/>
    <w:p>
      <w:pPr>
        <w:pStyle w:val="Heading3"/>
      </w:pPr>
      <w:r>
        <w:t xml:space="preserve">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ahg_actor_identifier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authority file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ahg_actor_completeness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scores and level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ahg_actor_occupation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occupation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ahg_actor_merge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Merge/split operation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ahg_ner_authority_stub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NER-to-authority pipeline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ahg_actor_function_link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Actor-to-function ISDF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ahg_authority_config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configuration settings</w:t>
            </w:r>
          </w:p>
        </w:tc>
      </w:tr>
    </w:tbl>
    <w:bookmarkEnd w:id="33"/>
    <w:bookmarkStart w:id="34" w:name="cli-tasks"/>
    <w:p>
      <w:pPr>
        <w:pStyle w:val="Heading3"/>
      </w:pPr>
      <w:r>
        <w:t xml:space="preserve">CLI Tasks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authority:completeness-scan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completeness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authority:ner-pipeline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NER entities to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NER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authority:dedup-scan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duplicate 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authority:merge-report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operation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symfony authority:function-sync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function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integration-points"/>
    <w:p>
      <w:pPr>
        <w:pStyle w:val="Heading2"/>
      </w:pPr>
      <w:r>
        <w:t xml:space="preserve">Integration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data access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entity data and matching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algorithms (Jaro-Winkler, Levenshtein)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ahgRicExplorerPlugin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visualization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ahgContactPlugin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information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approval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entity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EAC-CPF export enrichment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configuration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ndards-compliance"/>
    <w:p>
      <w:pPr>
        <w:pStyle w:val="Heading2"/>
      </w:pPr>
      <w:r>
        <w:t xml:space="preserve">Standards Compliance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ISAAR(CPF):</w:t>
      </w:r>
      <w:r>
        <w:t xml:space="preserve"> </w:t>
      </w:r>
      <w:r>
        <w:t xml:space="preserve">Completeness scoring based on all ISAAR field groups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ISDF:</w:t>
      </w:r>
      <w:r>
        <w:t xml:space="preserve"> </w:t>
      </w:r>
      <w:r>
        <w:t xml:space="preserve">Structured actor-to-function linking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EAC-CPF:</w:t>
      </w:r>
      <w:r>
        <w:t xml:space="preserve"> </w:t>
      </w:r>
      <w:r>
        <w:t xml:space="preserve">Export enrichment with external identifiers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RiC (Records in Contexts):</w:t>
      </w:r>
      <w:r>
        <w:t xml:space="preserve"> </w:t>
      </w:r>
      <w:r>
        <w:t xml:space="preserve">Graph-based relationship visualization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Wikidata/VIAF/ULAN/LCNAF/ISNI:</w:t>
      </w:r>
      <w:r>
        <w:t xml:space="preserve"> </w:t>
      </w:r>
      <w:r>
        <w:t xml:space="preserve">International authority file linking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13"/>
        </w:numPr>
        <w:pStyle w:val="Compact"/>
      </w:pPr>
      <w:r>
        <w:t xml:space="preserve">AtoM Heratio Framework v2.8+</w:t>
      </w:r>
    </w:p>
    <w:p>
      <w:pPr>
        <w:numPr>
          <w:ilvl w:val="0"/>
          <w:numId w:val="1013"/>
        </w:numPr>
        <w:pStyle w:val="Compact"/>
      </w:pPr>
      <w:r>
        <w:t xml:space="preserve">PHP 8.1+</w:t>
      </w:r>
    </w:p>
    <w:p>
      <w:pPr>
        <w:numPr>
          <w:ilvl w:val="0"/>
          <w:numId w:val="1013"/>
        </w:numPr>
        <w:pStyle w:val="Compact"/>
      </w:pPr>
      <w:r>
        <w:t xml:space="preserve">MySQL 8.0+</w:t>
      </w:r>
    </w:p>
    <w:p>
      <w:pPr>
        <w:numPr>
          <w:ilvl w:val="0"/>
          <w:numId w:val="1013"/>
        </w:numPr>
        <w:pStyle w:val="Compact"/>
      </w:pPr>
      <w:r>
        <w:t xml:space="preserve">Required plugins: ahgCorePlugin, ahgActorManagePlugin</w:t>
      </w:r>
    </w:p>
    <w:p>
      <w:pPr>
        <w:numPr>
          <w:ilvl w:val="0"/>
          <w:numId w:val="1013"/>
        </w:numPr>
        <w:pStyle w:val="Compact"/>
      </w:pPr>
      <w:r>
        <w:t xml:space="preserve">Optional plugins: ahgAIPlugin, ahgDedupePlugin, ahgRicExplorerPlugin, ahgContactPlugin, ahgWorkflowPlugin, ahgFunctionManagePlugin, ahgExportPlugin</w:t>
      </w:r>
    </w:p>
    <w:p>
      <w:r>
        <w:pict>
          <v:rect style="width:0;height:1.5pt" o:hralign="center" o:hrstd="t" o:hr="t"/>
        </w:pict>
      </w:r>
    </w:p>
    <w:bookmarkEnd w:id="38"/>
    <w:bookmarkStart w:id="39" w:name="administration"/>
    <w:p>
      <w:pPr>
        <w:pStyle w:val="Heading2"/>
      </w:pPr>
      <w:r>
        <w:t xml:space="preserve">Administration</w:t>
      </w:r>
    </w:p>
    <w:p>
      <w:pPr>
        <w:pStyle w:val="FirstParagraph"/>
      </w:pPr>
      <w:r>
        <w:t xml:space="preserve">Configuration is available at</w:t>
      </w:r>
      <w:r>
        <w:t xml:space="preserve"> </w:t>
      </w:r>
      <w:r>
        <w:rPr>
          <w:bCs/>
          <w:b/>
        </w:rPr>
        <w:t xml:space="preserve">Admin &gt; AHG Settings &gt; Authority Records</w:t>
      </w:r>
      <w:r>
        <w:t xml:space="preserve"> </w:t>
      </w:r>
      <w:r>
        <w:t xml:space="preserve">with sections for:</w:t>
      </w:r>
    </w:p>
    <w:p>
      <w:pPr>
        <w:numPr>
          <w:ilvl w:val="0"/>
          <w:numId w:val="1014"/>
        </w:numPr>
        <w:pStyle w:val="Compact"/>
      </w:pPr>
      <w:r>
        <w:t xml:space="preserve">External authority sources (enable/disable per source)</w:t>
      </w:r>
    </w:p>
    <w:p>
      <w:pPr>
        <w:numPr>
          <w:ilvl w:val="0"/>
          <w:numId w:val="1014"/>
        </w:numPr>
        <w:pStyle w:val="Compact"/>
      </w:pPr>
      <w:r>
        <w:t xml:space="preserve">Completeness and quality settings</w:t>
      </w:r>
    </w:p>
    <w:p>
      <w:pPr>
        <w:numPr>
          <w:ilvl w:val="0"/>
          <w:numId w:val="1014"/>
        </w:numPr>
        <w:pStyle w:val="Compact"/>
      </w:pPr>
      <w:r>
        <w:t xml:space="preserve">NER pipeline configuration (auto-stub, threshold)</w:t>
      </w:r>
    </w:p>
    <w:p>
      <w:pPr>
        <w:numPr>
          <w:ilvl w:val="0"/>
          <w:numId w:val="1014"/>
        </w:numPr>
        <w:pStyle w:val="Compact"/>
      </w:pPr>
      <w:r>
        <w:t xml:space="preserve">Merge and deduplication thresholds</w:t>
      </w:r>
    </w:p>
    <w:p>
      <w:pPr>
        <w:numPr>
          <w:ilvl w:val="0"/>
          <w:numId w:val="1014"/>
        </w:numPr>
        <w:pStyle w:val="Compact"/>
      </w:pPr>
      <w:r>
        <w:t xml:space="preserve">ISDF function linking toggle</w:t>
      </w:r>
    </w:p>
    <w:p>
      <w:pPr>
        <w:pStyle w:val="FirstParagraph"/>
      </w:pPr>
      <w:r>
        <w:t xml:space="preserve">All cron jobs are visible in</w:t>
      </w:r>
      <w:r>
        <w:t xml:space="preserve"> </w:t>
      </w:r>
      <w:r>
        <w:rPr>
          <w:bCs/>
          <w:b/>
        </w:rPr>
        <w:t xml:space="preserve">Admin &gt; AHG Settings &gt; Cron Jobs</w:t>
      </w:r>
      <w:r>
        <w:t xml:space="preserve"> </w:t>
      </w:r>
      <w:r>
        <w:t xml:space="preserve">under the AHG Extensions category.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Copyright 2026 The Archive and Heritage Group (Pty) Ltd. All rights reserved.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- Authority Records Feature Overview</dc:title>
  <dc:creator>The Archive and Heritage Group (Pty) Ltd</dc:creator>
  <cp:keywords/>
  <dcterms:created xsi:type="dcterms:W3CDTF">2026-03-01T05:08:39Z</dcterms:created>
  <dcterms:modified xsi:type="dcterms:W3CDTF">2026-03-01T05:08:39Z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