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- Authority Records User Manual</w:t>
      </w:r>
    </w:p>
    <w:p>
      <w:pPr>
        <w:pStyle w:val="Author"/>
      </w:pPr>
      <w:r>
        <w:t xml:space="preserve">The Archive and Heritage Group (Pty) Ltd</w:t>
      </w:r>
    </w:p>
    <w:bookmarkStart w:id="75" w:name="Xfb4f117fa98cc49c92306a40da83eb58fd092d9"/>
    <w:p>
      <w:pPr>
        <w:pStyle w:val="Heading1"/>
      </w:pPr>
      <w:r>
        <w:t xml:space="preserve">AtoM Heratio — Authority Records User Manual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Plugin:</w:t>
      </w:r>
      <w:r>
        <w:t xml:space="preserve"> </w:t>
      </w:r>
      <w:r>
        <w:t xml:space="preserve">ahgAuthorityPlugin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9d8ad87479fa4e3cf4d438fe46fbbe35d4a8dc">
        <w:r>
          <w:rPr>
            <w:rStyle w:val="Hyperlink"/>
          </w:rPr>
          <w:t xml:space="preserve">Getting Started</w:t>
        </w:r>
      </w:hyperlink>
    </w:p>
    <w:p>
      <w:pPr>
        <w:numPr>
          <w:ilvl w:val="0"/>
          <w:numId w:val="1001"/>
        </w:numPr>
        <w:pStyle w:val="Compact"/>
      </w:pPr>
      <w:hyperlink w:anchor="X2360a802cfafc4505c555e7c0e54952344d85e7">
        <w:r>
          <w:rPr>
            <w:rStyle w:val="Hyperlink"/>
          </w:rPr>
          <w:t xml:space="preserve">Completeness Dashboard</w:t>
        </w:r>
      </w:hyperlink>
    </w:p>
    <w:p>
      <w:pPr>
        <w:numPr>
          <w:ilvl w:val="0"/>
          <w:numId w:val="1001"/>
        </w:numPr>
        <w:pStyle w:val="Compact"/>
      </w:pPr>
      <w:hyperlink w:anchor="X5d880443142afa3f8081c64d50e0932cc339f23">
        <w:r>
          <w:rPr>
            <w:rStyle w:val="Hyperlink"/>
          </w:rPr>
          <w:t xml:space="preserve">Workqueue</w:t>
        </w:r>
      </w:hyperlink>
    </w:p>
    <w:p>
      <w:pPr>
        <w:numPr>
          <w:ilvl w:val="0"/>
          <w:numId w:val="1001"/>
        </w:numPr>
        <w:pStyle w:val="Compact"/>
      </w:pPr>
      <w:hyperlink w:anchor="X7654ad81c1e30a7d21bc525df85ae4120cf612e">
        <w:r>
          <w:rPr>
            <w:rStyle w:val="Hyperlink"/>
          </w:rPr>
          <w:t xml:space="preserve">External Authority Linking</w:t>
        </w:r>
      </w:hyperlink>
    </w:p>
    <w:p>
      <w:pPr>
        <w:numPr>
          <w:ilvl w:val="0"/>
          <w:numId w:val="1001"/>
        </w:numPr>
        <w:pStyle w:val="Compact"/>
      </w:pPr>
      <w:hyperlink w:anchor="X4ecef3b9e81f1c425e4f26e3f9b977c838cd631">
        <w:r>
          <w:rPr>
            <w:rStyle w:val="Hyperlink"/>
          </w:rPr>
          <w:t xml:space="preserve">NER-to-Authority Pipeline</w:t>
        </w:r>
      </w:hyperlink>
    </w:p>
    <w:p>
      <w:pPr>
        <w:numPr>
          <w:ilvl w:val="0"/>
          <w:numId w:val="1001"/>
        </w:numPr>
        <w:pStyle w:val="Compact"/>
      </w:pPr>
      <w:hyperlink w:anchor="X1dd8e804bfdd560e915601aeec6cbec0bbeec47">
        <w:r>
          <w:rPr>
            <w:rStyle w:val="Hyperlink"/>
          </w:rPr>
          <w:t xml:space="preserve">Relationship Graph</w:t>
        </w:r>
      </w:hyperlink>
    </w:p>
    <w:p>
      <w:pPr>
        <w:numPr>
          <w:ilvl w:val="0"/>
          <w:numId w:val="1001"/>
        </w:numPr>
        <w:pStyle w:val="Compact"/>
      </w:pPr>
      <w:hyperlink w:anchor="X4de416d1bed6f5c536fdc4080518f38010ad74b">
        <w:r>
          <w:rPr>
            <w:rStyle w:val="Hyperlink"/>
          </w:rPr>
          <w:t xml:space="preserve">ISDF Function Linking</w:t>
        </w:r>
      </w:hyperlink>
    </w:p>
    <w:p>
      <w:pPr>
        <w:numPr>
          <w:ilvl w:val="0"/>
          <w:numId w:val="1001"/>
        </w:numPr>
        <w:pStyle w:val="Compact"/>
      </w:pPr>
      <w:hyperlink w:anchor="X4ed3677716687219f2b8cea9914cb5e183a6dd9">
        <w:r>
          <w:rPr>
            <w:rStyle w:val="Hyperlink"/>
          </w:rPr>
          <w:t xml:space="preserve">Structured Occupations</w:t>
        </w:r>
      </w:hyperlink>
    </w:p>
    <w:p>
      <w:pPr>
        <w:numPr>
          <w:ilvl w:val="0"/>
          <w:numId w:val="1001"/>
        </w:numPr>
        <w:pStyle w:val="Compact"/>
      </w:pPr>
      <w:hyperlink w:anchor="X743ad195c322a8700474da89c1fb5115419e021">
        <w:r>
          <w:rPr>
            <w:rStyle w:val="Hyperlink"/>
          </w:rPr>
          <w:t xml:space="preserve">Merge &amp; Split</w:t>
        </w:r>
      </w:hyperlink>
    </w:p>
    <w:p>
      <w:pPr>
        <w:numPr>
          <w:ilvl w:val="0"/>
          <w:numId w:val="1001"/>
        </w:numPr>
        <w:pStyle w:val="Compact"/>
      </w:pPr>
      <w:hyperlink w:anchor="Xad10bc504dd22ba3faf43ff6f8d57d5b789983f">
        <w:r>
          <w:rPr>
            <w:rStyle w:val="Hyperlink"/>
          </w:rPr>
          <w:t xml:space="preserve">Bulk Deduplication</w:t>
        </w:r>
      </w:hyperlink>
    </w:p>
    <w:p>
      <w:pPr>
        <w:numPr>
          <w:ilvl w:val="0"/>
          <w:numId w:val="1001"/>
        </w:numPr>
        <w:pStyle w:val="Compact"/>
      </w:pPr>
      <w:hyperlink w:anchor="X33e50b9320f97cffb942e5f522b2cb9fb4ab617">
        <w:r>
          <w:rPr>
            <w:rStyle w:val="Hyperlink"/>
          </w:rPr>
          <w:t xml:space="preserve">Contact Information</w:t>
        </w:r>
      </w:hyperlink>
    </w:p>
    <w:p>
      <w:pPr>
        <w:numPr>
          <w:ilvl w:val="0"/>
          <w:numId w:val="1001"/>
        </w:numPr>
        <w:pStyle w:val="Compact"/>
      </w:pPr>
      <w:hyperlink w:anchor="Xbd0c8f4b51f7d57acf19515aebcee28f8d17fe6">
        <w:r>
          <w:rPr>
            <w:rStyle w:val="Hyperlink"/>
          </w:rPr>
          <w:t xml:space="preserve">EAC-CPF Export</w:t>
        </w:r>
      </w:hyperlink>
    </w:p>
    <w:p>
      <w:pPr>
        <w:numPr>
          <w:ilvl w:val="0"/>
          <w:numId w:val="1001"/>
        </w:numPr>
        <w:pStyle w:val="Compact"/>
      </w:pPr>
      <w:hyperlink w:anchor="X057537aa6c47c383e09a820e6cf2bb7b360874e">
        <w:r>
          <w:rPr>
            <w:rStyle w:val="Hyperlink"/>
          </w:rPr>
          <w:t xml:space="preserve">Configuration</w:t>
        </w:r>
      </w:hyperlink>
    </w:p>
    <w:p>
      <w:pPr>
        <w:numPr>
          <w:ilvl w:val="0"/>
          <w:numId w:val="1001"/>
        </w:numPr>
        <w:pStyle w:val="Compact"/>
      </w:pPr>
      <w:hyperlink w:anchor="X944c9aa570366f5ce084f8b5cc65f9f390131b6">
        <w:r>
          <w:rPr>
            <w:rStyle w:val="Hyperlink"/>
          </w:rPr>
          <w:t xml:space="preserve">CLI Tasks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getting-started"/>
    <w:p>
      <w:pPr>
        <w:pStyle w:val="Heading2"/>
      </w:pPr>
      <w:r>
        <w:t xml:space="preserve">1. Getting Started</w:t>
      </w:r>
    </w:p>
    <w:bookmarkStart w:id="21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2"/>
        </w:numPr>
        <w:pStyle w:val="Compact"/>
      </w:pPr>
      <w:r>
        <w:t xml:space="preserve">Administrator access to AtoM Heratio</w:t>
      </w:r>
    </w:p>
    <w:p>
      <w:pPr>
        <w:numPr>
          <w:ilvl w:val="0"/>
          <w:numId w:val="1002"/>
        </w:numPr>
        <w:pStyle w:val="Compact"/>
      </w:pPr>
      <w:r>
        <w:t xml:space="preserve">ahgAuthorityPlugin enabled via Admin &gt; Plugins</w:t>
      </w:r>
    </w:p>
    <w:bookmarkEnd w:id="21"/>
    <w:bookmarkStart w:id="22" w:name="accessing-authority-records-enhancement"/>
    <w:p>
      <w:pPr>
        <w:pStyle w:val="Heading3"/>
      </w:pPr>
      <w:r>
        <w:t xml:space="preserve">Accessing Authority Records Enhancement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Cs/>
          <w:b/>
        </w:rPr>
        <w:t xml:space="preserve">Admin &gt; Authority Dashboard</w:t>
      </w:r>
      <w:r>
        <w:t xml:space="preserve"> </w:t>
      </w:r>
      <w:r>
        <w:t xml:space="preserve">from the main menu. This opens the completeness dashboard, which serves as the central hub for authority record management.</w:t>
      </w:r>
    </w:p>
    <w:p>
      <w:pPr>
        <w:pStyle w:val="BodyText"/>
      </w:pPr>
      <w:r>
        <w:t xml:space="preserve">The following pages are available: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3168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Completeness KPIs and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/admin/authority/workqueue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records for 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/admin/authority/dedup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detection and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/admin/authority/ner-pipeline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 entity review and stub creation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completeness-dashboard"/>
    <w:p>
      <w:pPr>
        <w:pStyle w:val="Heading2"/>
      </w:pPr>
      <w:r>
        <w:t xml:space="preserve">2. Completeness Dashboard</w:t>
      </w:r>
    </w:p>
    <w:p>
      <w:pPr>
        <w:pStyle w:val="FirstParagraph"/>
      </w:pPr>
      <w:r>
        <w:t xml:space="preserve">The dashboard provides a bird’s-eye view of authority record quality across your repository.</w:t>
      </w:r>
    </w:p>
    <w:bookmarkStart w:id="24" w:name="key-performance-indicators-kpis"/>
    <w:p>
      <w:pPr>
        <w:pStyle w:val="Heading3"/>
      </w:pPr>
      <w:r>
        <w:t xml:space="preserve">Key Performance Indicators (KPIs)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Total Actors:</w:t>
      </w:r>
      <w:r>
        <w:t xml:space="preserve"> </w:t>
      </w:r>
      <w:r>
        <w:t xml:space="preserve">Count of all authority records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Scored:</w:t>
      </w:r>
      <w:r>
        <w:t xml:space="preserve"> </w:t>
      </w:r>
      <w:r>
        <w:t xml:space="preserve">Number of records with completeness scores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Average Score:</w:t>
      </w:r>
      <w:r>
        <w:t xml:space="preserve"> </w:t>
      </w:r>
      <w:r>
        <w:t xml:space="preserve">Mean completeness percentage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Full Records:</w:t>
      </w:r>
      <w:r>
        <w:t xml:space="preserve"> </w:t>
      </w:r>
      <w:r>
        <w:t xml:space="preserve">Count of records at</w:t>
      </w:r>
      <w:r>
        <w:t xml:space="preserve"> </w:t>
      </w:r>
      <w:r>
        <w:t xml:space="preserve">“</w:t>
      </w:r>
      <w:r>
        <w:t xml:space="preserve">Full</w:t>
      </w:r>
      <w:r>
        <w:t xml:space="preserve">”</w:t>
      </w:r>
      <w:r>
        <w:t xml:space="preserve"> </w:t>
      </w:r>
      <w:r>
        <w:t xml:space="preserve">quality level</w:t>
      </w:r>
    </w:p>
    <w:bookmarkEnd w:id="24"/>
    <w:bookmarkStart w:id="25" w:name="completeness-levels"/>
    <w:p>
      <w:pPr>
        <w:pStyle w:val="Heading3"/>
      </w:pPr>
      <w:r>
        <w:t xml:space="preserve">Completeness Levels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data — typically auto-created from 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identification only (name, type)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fields populated but gaps remain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record meeting ISAAR standards</w:t>
            </w:r>
          </w:p>
        </w:tc>
      </w:tr>
    </w:tbl>
    <w:bookmarkEnd w:id="25"/>
    <w:bookmarkStart w:id="26" w:name="scoring-methodology"/>
    <w:p>
      <w:pPr>
        <w:pStyle w:val="Heading3"/>
      </w:pPr>
      <w:r>
        <w:t xml:space="preserve">Scoring Methodology</w:t>
      </w:r>
    </w:p>
    <w:p>
      <w:pPr>
        <w:pStyle w:val="FirstParagraph"/>
      </w:pPr>
      <w:r>
        <w:t xml:space="preserve">The completeness score is calculated from 17 ISAAR(CPF) field groups: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Identity Area:</w:t>
      </w:r>
      <w:r>
        <w:t xml:space="preserve"> </w:t>
      </w:r>
      <w:r>
        <w:t xml:space="preserve">Authorized form of name, parallel names, standardized names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Description Area:</w:t>
      </w:r>
      <w:r>
        <w:t xml:space="preserve"> </w:t>
      </w:r>
      <w:r>
        <w:t xml:space="preserve">Dates of existence, history/biography, places, legal status, functions, mandates, internal structures, general context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Relationships Area:</w:t>
      </w:r>
      <w:r>
        <w:t xml:space="preserve"> </w:t>
      </w:r>
      <w:r>
        <w:t xml:space="preserve">Relations to other actors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Control Area:</w:t>
      </w:r>
      <w:r>
        <w:t xml:space="preserve"> </w:t>
      </w:r>
      <w:r>
        <w:t xml:space="preserve">Description identifier, institution identifier, rules/conventions, status, dates of revision, sources, maintenance notes</w:t>
      </w:r>
    </w:p>
    <w:p>
      <w:pPr>
        <w:pStyle w:val="FirstParagraph"/>
      </w:pPr>
      <w:r>
        <w:t xml:space="preserve">Each populated field contributes equally. Bonus points are awarded for:</w:t>
      </w:r>
      <w:r>
        <w:t xml:space="preserve"> </w:t>
      </w:r>
      <w:r>
        <w:t xml:space="preserve">- External identifiers (+5 per identifier type)</w:t>
      </w:r>
      <w:r>
        <w:t xml:space="preserve"> </w:t>
      </w:r>
      <w:r>
        <w:t xml:space="preserve">- Relations to other actors (+5)</w:t>
      </w:r>
      <w:r>
        <w:t xml:space="preserve"> </w:t>
      </w:r>
      <w:r>
        <w:t xml:space="preserve">- Linked resources (+5)</w:t>
      </w:r>
      <w:r>
        <w:t xml:space="preserve"> </w:t>
      </w:r>
      <w:r>
        <w:t xml:space="preserve">- Contact information (+5)</w:t>
      </w:r>
    </w:p>
    <w:bookmarkEnd w:id="26"/>
    <w:bookmarkStart w:id="27" w:name="actions"/>
    <w:p>
      <w:pPr>
        <w:pStyle w:val="Heading3"/>
      </w:pPr>
      <w:r>
        <w:t xml:space="preserve">Actions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Recalculate All:</w:t>
      </w:r>
      <w:r>
        <w:t xml:space="preserve"> </w:t>
      </w:r>
      <w:r>
        <w:t xml:space="preserve">Triggers a full rescan of all actor completeness scores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View Workqueue:</w:t>
      </w:r>
      <w:r>
        <w:t xml:space="preserve"> </w:t>
      </w:r>
      <w:r>
        <w:t xml:space="preserve">Navigate to the assignable work queue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workqueue"/>
    <w:p>
      <w:pPr>
        <w:pStyle w:val="Heading2"/>
      </w:pPr>
      <w:r>
        <w:t xml:space="preserve">3. Workqueue</w:t>
      </w:r>
    </w:p>
    <w:p>
      <w:pPr>
        <w:pStyle w:val="FirstParagraph"/>
      </w:pPr>
      <w:r>
        <w:t xml:space="preserve">The workqueue displays authority records assigned to archivists for quality improvement.</w:t>
      </w:r>
    </w:p>
    <w:bookmarkStart w:id="29" w:name="filtering"/>
    <w:p>
      <w:pPr>
        <w:pStyle w:val="Heading3"/>
      </w:pPr>
      <w:r>
        <w:t xml:space="preserve">Filtering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Level:</w:t>
      </w:r>
      <w:r>
        <w:t xml:space="preserve"> </w:t>
      </w:r>
      <w:r>
        <w:t xml:space="preserve">Filter by completeness level (Stub, Minimal, Partial, Full)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Entity Type:</w:t>
      </w:r>
      <w:r>
        <w:t xml:space="preserve"> </w:t>
      </w:r>
      <w:r>
        <w:t xml:space="preserve">Filter by actor type (Person, Corporate Body, Family)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Assignee:</w:t>
      </w:r>
      <w:r>
        <w:t xml:space="preserve"> </w:t>
      </w:r>
      <w:r>
        <w:t xml:space="preserve">Filter by assigned archivist</w:t>
      </w:r>
    </w:p>
    <w:bookmarkEnd w:id="29"/>
    <w:bookmarkStart w:id="30" w:name="assigning-records"/>
    <w:p>
      <w:pPr>
        <w:pStyle w:val="Heading3"/>
      </w:pPr>
      <w:r>
        <w:t xml:space="preserve">Assigning Records</w:t>
      </w:r>
    </w:p>
    <w:p>
      <w:pPr>
        <w:numPr>
          <w:ilvl w:val="0"/>
          <w:numId w:val="1007"/>
        </w:numPr>
        <w:pStyle w:val="Compact"/>
      </w:pPr>
      <w:r>
        <w:t xml:space="preserve">Select records using checkboxes</w:t>
      </w:r>
    </w:p>
    <w:p>
      <w:pPr>
        <w:numPr>
          <w:ilvl w:val="0"/>
          <w:numId w:val="1007"/>
        </w:numPr>
        <w:pStyle w:val="Compact"/>
      </w:pPr>
      <w:r>
        <w:t xml:space="preserve">Choose an assignee from the dropdown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Assign</w:t>
      </w:r>
      <w:r>
        <w:t xml:space="preserve">”</w:t>
      </w:r>
      <w:r>
        <w:t xml:space="preserve"> </w:t>
      </w:r>
      <w:r>
        <w:t xml:space="preserve">to bulk-assign records</w:t>
      </w:r>
    </w:p>
    <w:bookmarkEnd w:id="30"/>
    <w:bookmarkStart w:id="31" w:name="working-on-records"/>
    <w:p>
      <w:pPr>
        <w:pStyle w:val="Heading3"/>
      </w:pPr>
      <w:r>
        <w:t xml:space="preserve">Working on Records</w:t>
      </w:r>
    </w:p>
    <w:p>
      <w:pPr>
        <w:pStyle w:val="FirstParagraph"/>
      </w:pPr>
      <w:r>
        <w:t xml:space="preserve">Click any actor name in the workqueue to navigate to their authority record edit page, where you can add missing information to improve the completeness score.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external-authority-linking"/>
    <w:p>
      <w:pPr>
        <w:pStyle w:val="Heading2"/>
      </w:pPr>
      <w:r>
        <w:t xml:space="preserve">4. External Authority Linking</w:t>
      </w:r>
    </w:p>
    <w:p>
      <w:pPr>
        <w:pStyle w:val="FirstParagraph"/>
      </w:pPr>
      <w:r>
        <w:t xml:space="preserve">Link your authority records to international authority files for interoperability and enrichment.</w:t>
      </w:r>
    </w:p>
    <w:bookmarkStart w:id="33" w:name="supported-sources"/>
    <w:p>
      <w:pPr>
        <w:pStyle w:val="Heading3"/>
      </w:pPr>
      <w:r>
        <w:t xml:space="preserve">Supported Sources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Wikidata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Wikimedia structured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Q-number (e.g., Q42)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International Authority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Getty Union List of Artist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ULAN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LCNAF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of Congress Name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LCCN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Standard Name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16-digit ISNI</w:t>
            </w:r>
          </w:p>
        </w:tc>
      </w:tr>
    </w:tbl>
    <w:bookmarkEnd w:id="33"/>
    <w:bookmarkStart w:id="34" w:name="adding-an-external-identifier"/>
    <w:p>
      <w:pPr>
        <w:pStyle w:val="Heading3"/>
      </w:pPr>
      <w:r>
        <w:t xml:space="preserve">Adding an External Identifier</w:t>
      </w:r>
    </w:p>
    <w:p>
      <w:pPr>
        <w:numPr>
          <w:ilvl w:val="0"/>
          <w:numId w:val="1008"/>
        </w:numPr>
        <w:pStyle w:val="Compact"/>
      </w:pPr>
      <w:r>
        <w:t xml:space="preserve">Navigate to an authority record’s</w:t>
      </w:r>
      <w:r>
        <w:t xml:space="preserve"> </w:t>
      </w:r>
      <w:r>
        <w:rPr>
          <w:bCs/>
          <w:b/>
        </w:rPr>
        <w:t xml:space="preserve">Identifiers</w:t>
      </w:r>
      <w:r>
        <w:t xml:space="preserve"> </w:t>
      </w:r>
      <w:r>
        <w:t xml:space="preserve">tab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Identifier</w:t>
      </w:r>
      <w:r>
        <w:rPr>
          <w:bCs/>
          <w:b/>
        </w:rP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Select the identifier type from the dropdown</w:t>
      </w:r>
    </w:p>
    <w:p>
      <w:pPr>
        <w:numPr>
          <w:ilvl w:val="0"/>
          <w:numId w:val="1008"/>
        </w:numPr>
        <w:pStyle w:val="Compact"/>
      </w:pPr>
      <w:r>
        <w:t xml:space="preserve">Enter the identifier value</w:t>
      </w:r>
    </w:p>
    <w:p>
      <w:pPr>
        <w:numPr>
          <w:ilvl w:val="0"/>
          <w:numId w:val="1008"/>
        </w:numPr>
        <w:pStyle w:val="Compact"/>
      </w:pPr>
      <w:r>
        <w:t xml:space="preserve">Optionally use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Search</w:t>
      </w:r>
      <w:r>
        <w:rPr>
          <w:bCs/>
          <w:b/>
        </w:rPr>
        <w:t xml:space="preserve">”</w:t>
      </w:r>
      <w:r>
        <w:t xml:space="preserve"> </w:t>
      </w:r>
      <w:r>
        <w:t xml:space="preserve">to look up the authority source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</w:t>
      </w:r>
      <w:r>
        <w:rPr>
          <w:bCs/>
          <w:b/>
        </w:rPr>
        <w:t xml:space="preserve">”</w:t>
      </w:r>
    </w:p>
    <w:bookmarkEnd w:id="34"/>
    <w:bookmarkStart w:id="35" w:name="using-the-lookup-tool"/>
    <w:p>
      <w:pPr>
        <w:pStyle w:val="Heading3"/>
      </w:pPr>
      <w:r>
        <w:t xml:space="preserve">Using the Lookup Tool</w:t>
      </w:r>
    </w:p>
    <w:p>
      <w:pPr>
        <w:numPr>
          <w:ilvl w:val="0"/>
          <w:numId w:val="1009"/>
        </w:numPr>
        <w:pStyle w:val="Compact"/>
      </w:pPr>
      <w:r>
        <w:t xml:space="preserve">Click the search icon next to any authority source</w:t>
      </w:r>
    </w:p>
    <w:p>
      <w:pPr>
        <w:numPr>
          <w:ilvl w:val="0"/>
          <w:numId w:val="1009"/>
        </w:numPr>
        <w:pStyle w:val="Compact"/>
      </w:pPr>
      <w:r>
        <w:t xml:space="preserve">Enter a search term (person name, organization name)</w:t>
      </w:r>
    </w:p>
    <w:p>
      <w:pPr>
        <w:numPr>
          <w:ilvl w:val="0"/>
          <w:numId w:val="1009"/>
        </w:numPr>
        <w:pStyle w:val="Compact"/>
      </w:pPr>
      <w:r>
        <w:t xml:space="preserve">Results appear from the selected authority source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Use</w:t>
      </w:r>
      <w:r>
        <w:rPr>
          <w:bCs/>
          <w:b/>
        </w:rPr>
        <w:t xml:space="preserve">”</w:t>
      </w:r>
      <w:r>
        <w:t xml:space="preserve"> </w:t>
      </w:r>
      <w:r>
        <w:t xml:space="preserve">to populate the identifier field</w:t>
      </w:r>
    </w:p>
    <w:p>
      <w:pPr>
        <w:numPr>
          <w:ilvl w:val="0"/>
          <w:numId w:val="1009"/>
        </w:numPr>
        <w:pStyle w:val="Compact"/>
      </w:pPr>
      <w:r>
        <w:t xml:space="preserve">The URI is automatically constructed</w:t>
      </w:r>
    </w:p>
    <w:bookmarkEnd w:id="35"/>
    <w:bookmarkStart w:id="36" w:name="verification"/>
    <w:p>
      <w:pPr>
        <w:pStyle w:val="Heading3"/>
      </w:pPr>
      <w:r>
        <w:t xml:space="preserve">Verification</w:t>
      </w:r>
    </w:p>
    <w:p>
      <w:pPr>
        <w:numPr>
          <w:ilvl w:val="0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Verify</w:t>
      </w:r>
      <w:r>
        <w:rPr>
          <w:bCs/>
          <w:b/>
        </w:rPr>
        <w:t xml:space="preserve">”</w:t>
      </w:r>
      <w:r>
        <w:t xml:space="preserve"> </w:t>
      </w:r>
      <w:r>
        <w:t xml:space="preserve">on any identifier to mark it as verified</w:t>
      </w:r>
    </w:p>
    <w:p>
      <w:pPr>
        <w:numPr>
          <w:ilvl w:val="0"/>
          <w:numId w:val="1010"/>
        </w:numPr>
        <w:pStyle w:val="Compact"/>
      </w:pPr>
      <w:r>
        <w:t xml:space="preserve">Verification records the verifying user and timestamp</w:t>
      </w:r>
    </w:p>
    <w:p>
      <w:pPr>
        <w:numPr>
          <w:ilvl w:val="0"/>
          <w:numId w:val="1010"/>
        </w:numPr>
        <w:pStyle w:val="Compact"/>
      </w:pPr>
      <w:r>
        <w:t xml:space="preserve">Auto-verification can be enabled for Wikidata in settings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ner-to-authority-pipeline"/>
    <w:p>
      <w:pPr>
        <w:pStyle w:val="Heading2"/>
      </w:pPr>
      <w:r>
        <w:t xml:space="preserve">5. NER-to-Authority Pipeline</w:t>
      </w:r>
    </w:p>
    <w:p>
      <w:pPr>
        <w:pStyle w:val="FirstParagraph"/>
      </w:pPr>
      <w:r>
        <w:t xml:space="preserve">The NER pipeline bridges Named Entity Recognition output with authority record creation.</w:t>
      </w:r>
    </w:p>
    <w:bookmarkStart w:id="38" w:name="how-it-works"/>
    <w:p>
      <w:pPr>
        <w:pStyle w:val="Heading3"/>
      </w:pPr>
      <w:r>
        <w:t xml:space="preserve">How It Works</w:t>
      </w:r>
    </w:p>
    <w:p>
      <w:pPr>
        <w:numPr>
          <w:ilvl w:val="0"/>
          <w:numId w:val="1011"/>
        </w:numPr>
        <w:pStyle w:val="Compact"/>
      </w:pPr>
      <w:r>
        <w:t xml:space="preserve">NER extraction identifies persons, organizations, and places in archival descriptions</w:t>
      </w:r>
    </w:p>
    <w:p>
      <w:pPr>
        <w:numPr>
          <w:ilvl w:val="0"/>
          <w:numId w:val="1011"/>
        </w:numPr>
        <w:pStyle w:val="Compact"/>
      </w:pPr>
      <w:r>
        <w:t xml:space="preserve">The pipeline checks each entity against existing authority records</w:t>
      </w:r>
    </w:p>
    <w:p>
      <w:pPr>
        <w:numPr>
          <w:ilvl w:val="0"/>
          <w:numId w:val="1011"/>
        </w:numPr>
        <w:pStyle w:val="Compact"/>
      </w:pPr>
      <w:r>
        <w:t xml:space="preserve">Entities above the confidence threshold are eligible for stub creation</w:t>
      </w:r>
    </w:p>
    <w:p>
      <w:pPr>
        <w:numPr>
          <w:ilvl w:val="0"/>
          <w:numId w:val="1011"/>
        </w:numPr>
        <w:pStyle w:val="Compact"/>
      </w:pPr>
      <w:r>
        <w:t xml:space="preserve">Stubs appear in the review queue for archivist approval</w:t>
      </w:r>
    </w:p>
    <w:bookmarkEnd w:id="38"/>
    <w:bookmarkStart w:id="39" w:name="review-queue"/>
    <w:p>
      <w:pPr>
        <w:pStyle w:val="Heading3"/>
      </w:pPr>
      <w:r>
        <w:t xml:space="preserve">Review Queue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Cs/>
          <w:b/>
        </w:rPr>
        <w:t xml:space="preserve">Admin &gt; NER Pipeline</w:t>
      </w:r>
      <w:r>
        <w:t xml:space="preserve"> </w:t>
      </w:r>
      <w:r>
        <w:t xml:space="preserve">to see pending NER entities.</w:t>
      </w:r>
    </w:p>
    <w:p>
      <w:pPr>
        <w:pStyle w:val="BodyText"/>
      </w:pPr>
      <w:r>
        <w:t xml:space="preserve">Each entity shows:</w:t>
      </w:r>
      <w:r>
        <w:t xml:space="preserve"> </w:t>
      </w:r>
      <w:r>
        <w:t xml:space="preserve">- Entity value (the extracted name)</w:t>
      </w:r>
      <w:r>
        <w:t xml:space="preserve"> </w:t>
      </w:r>
      <w:r>
        <w:t xml:space="preserve">- Entity type (PERSON, ORG, GPE)</w:t>
      </w:r>
      <w:r>
        <w:t xml:space="preserve"> </w:t>
      </w:r>
      <w:r>
        <w:t xml:space="preserve">- Confidence score</w:t>
      </w:r>
      <w:r>
        <w:t xml:space="preserve"> </w:t>
      </w:r>
      <w:r>
        <w:t xml:space="preserve">- Source document (the information object where it was found)</w:t>
      </w:r>
      <w:r>
        <w:t xml:space="preserve"> </w:t>
      </w:r>
      <w:r>
        <w:t xml:space="preserve">- Matching actors (potential duplicates in the system)</w:t>
      </w:r>
    </w:p>
    <w:bookmarkEnd w:id="39"/>
    <w:bookmarkStart w:id="40" w:name="actions-1"/>
    <w:p>
      <w:pPr>
        <w:pStyle w:val="Heading3"/>
      </w:pPr>
      <w:r>
        <w:t xml:space="preserve">Actions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Create Stub:</w:t>
      </w:r>
      <w:r>
        <w:t xml:space="preserve"> </w:t>
      </w:r>
      <w:r>
        <w:t xml:space="preserve">Creates a new stub authority record from the NER entity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Promote:</w:t>
      </w:r>
      <w:r>
        <w:t xml:space="preserve"> </w:t>
      </w:r>
      <w:r>
        <w:t xml:space="preserve">Elevates a stub to a full authority record (changes status)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Reject:</w:t>
      </w:r>
      <w:r>
        <w:t xml:space="preserve"> </w:t>
      </w:r>
      <w:r>
        <w:t xml:space="preserve">Marks the entity as not suitable for authority record creation</w:t>
      </w:r>
    </w:p>
    <w:bookmarkEnd w:id="40"/>
    <w:bookmarkStart w:id="41" w:name="automatic-processing"/>
    <w:p>
      <w:pPr>
        <w:pStyle w:val="Heading3"/>
      </w:pPr>
      <w:r>
        <w:t xml:space="preserve">Automatic Processing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“</w:t>
      </w:r>
      <w:r>
        <w:t xml:space="preserve">Auto-Create Stubs</w:t>
      </w:r>
      <w:r>
        <w:t xml:space="preserve">”</w:t>
      </w:r>
      <w:r>
        <w:t xml:space="preserve"> </w:t>
      </w:r>
      <w:r>
        <w:t xml:space="preserve">is enabled in settings, entities above the threshold are automatically converted to stub authority records without manual review.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relationship-graph"/>
    <w:p>
      <w:pPr>
        <w:pStyle w:val="Heading2"/>
      </w:pPr>
      <w:r>
        <w:t xml:space="preserve">6. Relationship Graph</w:t>
      </w:r>
    </w:p>
    <w:p>
      <w:pPr>
        <w:pStyle w:val="FirstParagraph"/>
      </w:pPr>
      <w:r>
        <w:t xml:space="preserve">The relationship graph provides an interactive visualization of agent-to-agent relationships.</w:t>
      </w:r>
    </w:p>
    <w:bookmarkStart w:id="43" w:name="viewing-the-graph"/>
    <w:p>
      <w:pPr>
        <w:pStyle w:val="Heading3"/>
      </w:pPr>
      <w:r>
        <w:t xml:space="preserve">Viewing the Graph</w:t>
      </w:r>
    </w:p>
    <w:p>
      <w:pPr>
        <w:pStyle w:val="FirstParagraph"/>
      </w:pPr>
      <w:r>
        <w:t xml:space="preserve">The graph panel appears on authority record view pages when the plugin is active. It displays:</w:t>
      </w:r>
    </w:p>
    <w:p>
      <w:pPr>
        <w:numPr>
          <w:ilvl w:val="0"/>
          <w:numId w:val="1013"/>
        </w:numPr>
        <w:pStyle w:val="Compact"/>
      </w:pPr>
      <w:r>
        <w:t xml:space="preserve">The current actor as the central node</w:t>
      </w:r>
    </w:p>
    <w:p>
      <w:pPr>
        <w:numPr>
          <w:ilvl w:val="0"/>
          <w:numId w:val="1013"/>
        </w:numPr>
        <w:pStyle w:val="Compact"/>
      </w:pPr>
      <w:r>
        <w:t xml:space="preserve">Related actors connected by labeled edges</w:t>
      </w:r>
    </w:p>
    <w:p>
      <w:pPr>
        <w:numPr>
          <w:ilvl w:val="0"/>
          <w:numId w:val="1013"/>
        </w:numPr>
        <w:pStyle w:val="Compact"/>
      </w:pPr>
      <w:r>
        <w:t xml:space="preserve">Relationship types color-coded by category</w:t>
      </w:r>
    </w:p>
    <w:bookmarkEnd w:id="43"/>
    <w:bookmarkStart w:id="44" w:name="relationship-colors"/>
    <w:p>
      <w:pPr>
        <w:pStyle w:val="Heading3"/>
      </w:pPr>
      <w:r>
        <w:t xml:space="preserve">Relationship Colors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Associative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relationships</w:t>
            </w:r>
          </w:p>
        </w:tc>
      </w:tr>
    </w:tbl>
    <w:bookmarkEnd w:id="44"/>
    <w:bookmarkStart w:id="45" w:name="interaction"/>
    <w:p>
      <w:pPr>
        <w:pStyle w:val="Heading3"/>
      </w:pPr>
      <w:r>
        <w:t xml:space="preserve">Interaction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Click</w:t>
      </w:r>
      <w:r>
        <w:t xml:space="preserve"> </w:t>
      </w:r>
      <w:r>
        <w:t xml:space="preserve">a node to navigate to that actor’s page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Scroll</w:t>
      </w:r>
      <w:r>
        <w:t xml:space="preserve"> </w:t>
      </w:r>
      <w:r>
        <w:t xml:space="preserve">to zoom in/out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Drag</w:t>
      </w:r>
      <w:r>
        <w:t xml:space="preserve"> </w:t>
      </w:r>
      <w:r>
        <w:t xml:space="preserve">nodes to rearrange the layout</w:t>
      </w:r>
    </w:p>
    <w:p>
      <w:pPr>
        <w:numPr>
          <w:ilvl w:val="0"/>
          <w:numId w:val="1014"/>
        </w:numPr>
        <w:pStyle w:val="Compact"/>
      </w:pPr>
      <w:r>
        <w:t xml:space="preserve">The graph automatically expands to show relationships up to the configured depth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isdf-function-linking"/>
    <w:p>
      <w:pPr>
        <w:pStyle w:val="Heading2"/>
      </w:pPr>
      <w:r>
        <w:t xml:space="preserve">7. ISDF Function Linking</w:t>
      </w:r>
    </w:p>
    <w:p>
      <w:pPr>
        <w:pStyle w:val="FirstParagraph"/>
      </w:pPr>
      <w:r>
        <w:t xml:space="preserve">Link authority records to ISDF function entities for structured function documentation.</w:t>
      </w:r>
    </w:p>
    <w:bookmarkStart w:id="47" w:name="adding-function-links"/>
    <w:p>
      <w:pPr>
        <w:pStyle w:val="Heading3"/>
      </w:pPr>
      <w:r>
        <w:t xml:space="preserve">Adding Function Links</w:t>
      </w:r>
    </w:p>
    <w:p>
      <w:pPr>
        <w:numPr>
          <w:ilvl w:val="0"/>
          <w:numId w:val="1015"/>
        </w:numPr>
        <w:pStyle w:val="Compact"/>
      </w:pPr>
      <w:r>
        <w:t xml:space="preserve">Navigate to an authority record’s</w:t>
      </w:r>
      <w:r>
        <w:t xml:space="preserve"> </w:t>
      </w:r>
      <w:r>
        <w:rPr>
          <w:bCs/>
          <w:b/>
        </w:rPr>
        <w:t xml:space="preserve">Functions</w:t>
      </w:r>
      <w:r>
        <w:t xml:space="preserve"> </w:t>
      </w:r>
      <w:r>
        <w:t xml:space="preserve">tab</w:t>
      </w:r>
    </w:p>
    <w:p>
      <w:pPr>
        <w:numPr>
          <w:ilvl w:val="0"/>
          <w:numId w:val="101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Function Link</w:t>
      </w:r>
      <w:r>
        <w:rPr>
          <w:bCs/>
          <w:b/>
        </w:rP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Search for and select the function entity</w:t>
      </w:r>
    </w:p>
    <w:p>
      <w:pPr>
        <w:numPr>
          <w:ilvl w:val="0"/>
          <w:numId w:val="1015"/>
        </w:numPr>
        <w:pStyle w:val="Compact"/>
      </w:pPr>
      <w:r>
        <w:t xml:space="preserve">Choose the relation type: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Responsible:</w:t>
      </w:r>
      <w:r>
        <w:t xml:space="preserve"> </w:t>
      </w:r>
      <w:r>
        <w:t xml:space="preserve">The actor is responsible for the function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Participates:</w:t>
      </w:r>
      <w:r>
        <w:t xml:space="preserve"> </w:t>
      </w:r>
      <w:r>
        <w:t xml:space="preserve">The actor participates in the function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Authorizes:</w:t>
      </w:r>
      <w:r>
        <w:t xml:space="preserve"> </w:t>
      </w:r>
      <w:r>
        <w:t xml:space="preserve">The actor authorizes the function</w:t>
      </w:r>
    </w:p>
    <w:p>
      <w:pPr>
        <w:numPr>
          <w:ilvl w:val="0"/>
          <w:numId w:val="1015"/>
        </w:numPr>
        <w:pStyle w:val="Compact"/>
      </w:pPr>
      <w:r>
        <w:t xml:space="preserve">Optionally set date range and notes</w:t>
      </w:r>
    </w:p>
    <w:p>
      <w:pPr>
        <w:numPr>
          <w:ilvl w:val="0"/>
          <w:numId w:val="101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</w:t>
      </w:r>
      <w:r>
        <w:rPr>
          <w:bCs/>
          <w:b/>
        </w:rPr>
        <w:t xml:space="preserve">”</w:t>
      </w:r>
    </w:p>
    <w:bookmarkEnd w:id="47"/>
    <w:bookmarkStart w:id="48" w:name="browse-by-function"/>
    <w:p>
      <w:pPr>
        <w:pStyle w:val="Heading3"/>
      </w:pPr>
      <w:r>
        <w:t xml:space="preserve">Browse by Function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Cs/>
          <w:b/>
        </w:rPr>
        <w:t xml:space="preserve">Admin &gt; Authority &gt; Browse by Function</w:t>
      </w:r>
      <w:r>
        <w:t xml:space="preserve"> </w:t>
      </w:r>
      <w:r>
        <w:t xml:space="preserve">to see all functions and the actors linked to each one.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structured-occupations"/>
    <w:p>
      <w:pPr>
        <w:pStyle w:val="Heading2"/>
      </w:pPr>
      <w:r>
        <w:t xml:space="preserve">8. Structured Occupations</w:t>
      </w:r>
    </w:p>
    <w:p>
      <w:pPr>
        <w:pStyle w:val="FirstParagraph"/>
      </w:pPr>
      <w:r>
        <w:t xml:space="preserve">Replace free-text occupation fields with structured, date-ranged occupation entries.</w:t>
      </w:r>
    </w:p>
    <w:bookmarkStart w:id="50" w:name="adding-occupations"/>
    <w:p>
      <w:pPr>
        <w:pStyle w:val="Heading3"/>
      </w:pPr>
      <w:r>
        <w:t xml:space="preserve">Adding Occupations</w:t>
      </w:r>
    </w:p>
    <w:p>
      <w:pPr>
        <w:numPr>
          <w:ilvl w:val="0"/>
          <w:numId w:val="1017"/>
        </w:numPr>
        <w:pStyle w:val="Compact"/>
      </w:pPr>
      <w:r>
        <w:t xml:space="preserve">Navigate to an authority record’s</w:t>
      </w:r>
      <w:r>
        <w:t xml:space="preserve"> </w:t>
      </w:r>
      <w:r>
        <w:rPr>
          <w:bCs/>
          <w:b/>
        </w:rPr>
        <w:t xml:space="preserve">Occupations</w:t>
      </w:r>
      <w:r>
        <w:t xml:space="preserve"> </w:t>
      </w:r>
      <w:r>
        <w:t xml:space="preserve">tab</w:t>
      </w:r>
    </w:p>
    <w:p>
      <w:pPr>
        <w:numPr>
          <w:ilvl w:val="0"/>
          <w:numId w:val="101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Occupation</w:t>
      </w:r>
      <w:r>
        <w:rPr>
          <w:bCs/>
          <w:b/>
        </w:rP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Either:</w:t>
      </w:r>
    </w:p>
    <w:p>
      <w:pPr>
        <w:numPr>
          <w:ilvl w:val="1"/>
          <w:numId w:val="1018"/>
        </w:numPr>
        <w:pStyle w:val="Compact"/>
      </w:pPr>
      <w:r>
        <w:t xml:space="preserve">Select a term from the occupation taxonomy, or</w:t>
      </w:r>
    </w:p>
    <w:p>
      <w:pPr>
        <w:numPr>
          <w:ilvl w:val="1"/>
          <w:numId w:val="1018"/>
        </w:numPr>
        <w:pStyle w:val="Compact"/>
      </w:pPr>
      <w:r>
        <w:t xml:space="preserve">Enter free text if no matching term exists</w:t>
      </w:r>
    </w:p>
    <w:p>
      <w:pPr>
        <w:numPr>
          <w:ilvl w:val="0"/>
          <w:numId w:val="1017"/>
        </w:numPr>
        <w:pStyle w:val="Compact"/>
      </w:pPr>
      <w:r>
        <w:t xml:space="preserve">Set date range (from/to) if applicable</w:t>
      </w:r>
    </w:p>
    <w:p>
      <w:pPr>
        <w:numPr>
          <w:ilvl w:val="0"/>
          <w:numId w:val="1017"/>
        </w:numPr>
        <w:pStyle w:val="Compact"/>
      </w:pPr>
      <w:r>
        <w:t xml:space="preserve">Add any notes</w:t>
      </w:r>
    </w:p>
    <w:p>
      <w:pPr>
        <w:numPr>
          <w:ilvl w:val="0"/>
          <w:numId w:val="101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Occupations are displayed in chronological order on the authority record.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merge-split"/>
    <w:p>
      <w:pPr>
        <w:pStyle w:val="Heading2"/>
      </w:pPr>
      <w:r>
        <w:t xml:space="preserve">9. Merge &amp; Split</w:t>
      </w:r>
    </w:p>
    <w:bookmarkStart w:id="52" w:name="merging-records"/>
    <w:p>
      <w:pPr>
        <w:pStyle w:val="Heading3"/>
      </w:pPr>
      <w:r>
        <w:t xml:space="preserve">Merging Records</w:t>
      </w:r>
    </w:p>
    <w:p>
      <w:pPr>
        <w:pStyle w:val="FirstParagraph"/>
      </w:pPr>
      <w:r>
        <w:t xml:space="preserve">When duplicate authority records are identified:</w:t>
      </w:r>
    </w:p>
    <w:p>
      <w:pPr>
        <w:numPr>
          <w:ilvl w:val="0"/>
          <w:numId w:val="1019"/>
        </w:numPr>
        <w:pStyle w:val="Compact"/>
      </w:pPr>
      <w:r>
        <w:t xml:space="preserve">Navigate to the</w:t>
      </w:r>
      <w:r>
        <w:t xml:space="preserve"> </w:t>
      </w:r>
      <w:r>
        <w:rPr>
          <w:bCs/>
          <w:b/>
        </w:rPr>
        <w:t xml:space="preserve">Merge</w:t>
      </w:r>
      <w:r>
        <w:t xml:space="preserve"> </w:t>
      </w:r>
      <w:r>
        <w:t xml:space="preserve">page for the primary (surviving) actor</w:t>
      </w:r>
    </w:p>
    <w:p>
      <w:pPr>
        <w:numPr>
          <w:ilvl w:val="0"/>
          <w:numId w:val="1019"/>
        </w:numPr>
        <w:pStyle w:val="Compact"/>
      </w:pPr>
      <w:r>
        <w:t xml:space="preserve">Search for and select the secondary (duplicate) actor</w:t>
      </w:r>
    </w:p>
    <w:p>
      <w:pPr>
        <w:numPr>
          <w:ilvl w:val="0"/>
          <w:numId w:val="1019"/>
        </w:numPr>
        <w:pStyle w:val="Compact"/>
      </w:pPr>
      <w:r>
        <w:t xml:space="preserve">Review the side-by-side field comparison</w:t>
      </w:r>
    </w:p>
    <w:p>
      <w:pPr>
        <w:numPr>
          <w:ilvl w:val="0"/>
          <w:numId w:val="1019"/>
        </w:numPr>
        <w:pStyle w:val="Compact"/>
      </w:pPr>
      <w:r>
        <w:t xml:space="preserve">For each field, choose whether to keep the primary or secondary value</w:t>
      </w:r>
    </w:p>
    <w:p>
      <w:pPr>
        <w:numPr>
          <w:ilvl w:val="0"/>
          <w:numId w:val="1019"/>
        </w:numPr>
        <w:pStyle w:val="Compact"/>
      </w:pPr>
      <w:r>
        <w:t xml:space="preserve">Review the transfer summary (relations, resources, contacts, identifiers)</w:t>
      </w:r>
    </w:p>
    <w:p>
      <w:pPr>
        <w:numPr>
          <w:ilvl w:val="0"/>
          <w:numId w:val="101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Execute Merge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After merging:</w:t>
      </w:r>
      <w:r>
        <w:t xml:space="preserve"> </w:t>
      </w:r>
      <w:r>
        <w:t xml:space="preserve">- The secondary actor’s slug redirects to the primary actor</w:t>
      </w:r>
      <w:r>
        <w:t xml:space="preserve"> </w:t>
      </w:r>
      <w:r>
        <w:t xml:space="preserve">- All relations, resources, contacts, and identifiers are transferred</w:t>
      </w:r>
      <w:r>
        <w:t xml:space="preserve"> </w:t>
      </w:r>
      <w:r>
        <w:t xml:space="preserve">- A merge record is created in the history</w:t>
      </w:r>
    </w:p>
    <w:bookmarkEnd w:id="52"/>
    <w:bookmarkStart w:id="53" w:name="splitting-records"/>
    <w:p>
      <w:pPr>
        <w:pStyle w:val="Heading3"/>
      </w:pPr>
      <w:r>
        <w:t xml:space="preserve">Splitting Records</w:t>
      </w:r>
    </w:p>
    <w:p>
      <w:pPr>
        <w:pStyle w:val="FirstParagraph"/>
      </w:pPr>
      <w:r>
        <w:t xml:space="preserve">When an authority record conflates two distinct entities:</w:t>
      </w:r>
    </w:p>
    <w:p>
      <w:pPr>
        <w:numPr>
          <w:ilvl w:val="0"/>
          <w:numId w:val="1020"/>
        </w:numPr>
        <w:pStyle w:val="Compact"/>
      </w:pPr>
      <w:r>
        <w:t xml:space="preserve">Navigate to the</w:t>
      </w:r>
      <w:r>
        <w:t xml:space="preserve"> </w:t>
      </w:r>
      <w:r>
        <w:rPr>
          <w:bCs/>
          <w:b/>
        </w:rPr>
        <w:t xml:space="preserve">Split</w:t>
      </w:r>
      <w:r>
        <w:t xml:space="preserve"> </w:t>
      </w:r>
      <w:r>
        <w:t xml:space="preserve">page for the actor</w:t>
      </w:r>
    </w:p>
    <w:p>
      <w:pPr>
        <w:numPr>
          <w:ilvl w:val="0"/>
          <w:numId w:val="1020"/>
        </w:numPr>
        <w:pStyle w:val="Compact"/>
      </w:pPr>
      <w:r>
        <w:t xml:space="preserve">Enter the name for the new actor to be split off</w:t>
      </w:r>
    </w:p>
    <w:p>
      <w:pPr>
        <w:numPr>
          <w:ilvl w:val="0"/>
          <w:numId w:val="1020"/>
        </w:numPr>
        <w:pStyle w:val="Compact"/>
      </w:pPr>
      <w:r>
        <w:t xml:space="preserve">Select which relations and resources to move to the new actor</w:t>
      </w:r>
    </w:p>
    <w:p>
      <w:pPr>
        <w:numPr>
          <w:ilvl w:val="0"/>
          <w:numId w:val="102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Execute Split</w:t>
      </w:r>
      <w:r>
        <w:rPr>
          <w:bCs/>
          <w:b/>
        </w:rPr>
        <w:t xml:space="preserve">”</w:t>
      </w:r>
    </w:p>
    <w:bookmarkEnd w:id="53"/>
    <w:bookmarkStart w:id="54" w:name="approval-workflow"/>
    <w:p>
      <w:pPr>
        <w:pStyle w:val="Heading3"/>
      </w:pPr>
      <w:r>
        <w:t xml:space="preserve">Approval Workflow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“</w:t>
      </w:r>
      <w:r>
        <w:t xml:space="preserve">Require Approval for Merge</w:t>
      </w:r>
      <w:r>
        <w:t xml:space="preserve">”</w:t>
      </w:r>
      <w:r>
        <w:t xml:space="preserve"> </w:t>
      </w:r>
      <w:r>
        <w:t xml:space="preserve">is enabled in settings (and ahgWorkflowPlugin is active), merge operations require supervisor approval before execution.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bulk-deduplication"/>
    <w:p>
      <w:pPr>
        <w:pStyle w:val="Heading2"/>
      </w:pPr>
      <w:r>
        <w:t xml:space="preserve">10. Bulk Deduplication</w:t>
      </w:r>
    </w:p>
    <w:bookmarkStart w:id="56" w:name="running-a-scan"/>
    <w:p>
      <w:pPr>
        <w:pStyle w:val="Heading3"/>
      </w:pPr>
      <w:r>
        <w:t xml:space="preserve">Running a Scan</w:t>
      </w:r>
    </w:p>
    <w:p>
      <w:pPr>
        <w:numPr>
          <w:ilvl w:val="0"/>
          <w:numId w:val="1021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Admin &gt; Authority &gt; Dedup</w:t>
      </w:r>
    </w:p>
    <w:p>
      <w:pPr>
        <w:numPr>
          <w:ilvl w:val="0"/>
          <w:numId w:val="1021"/>
        </w:numPr>
        <w:pStyle w:val="Compact"/>
      </w:pPr>
      <w:r>
        <w:t xml:space="preserve">Review the current statistics (pending pairs, resolved merges, dismissed)</w:t>
      </w:r>
    </w:p>
    <w:p>
      <w:pPr>
        <w:numPr>
          <w:ilvl w:val="0"/>
          <w:numId w:val="102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Start Scan</w:t>
      </w:r>
      <w:r>
        <w:rPr>
          <w:bCs/>
          <w:b/>
        </w:rPr>
        <w:t xml:space="preserve">”</w:t>
      </w:r>
      <w:r>
        <w:t xml:space="preserve"> </w:t>
      </w:r>
      <w:r>
        <w:t xml:space="preserve">or use the CLI:</w:t>
      </w:r>
      <w:r>
        <w:t xml:space="preserve"> </w:t>
      </w:r>
      <w:r>
        <w:rPr>
          <w:rStyle w:val="VerbatimChar"/>
        </w:rPr>
        <w:t xml:space="preserve">php symfony authority:dedup-scan</w:t>
      </w:r>
    </w:p>
    <w:bookmarkEnd w:id="56"/>
    <w:bookmarkStart w:id="57" w:name="review-results"/>
    <w:p>
      <w:pPr>
        <w:pStyle w:val="Heading3"/>
      </w:pPr>
      <w:r>
        <w:t xml:space="preserve">Review Results</w:t>
      </w:r>
    </w:p>
    <w:p>
      <w:pPr>
        <w:pStyle w:val="FirstParagraph"/>
      </w:pPr>
      <w:r>
        <w:t xml:space="preserve">After scanning, potential duplicates appear as pairs with: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Score:</w:t>
      </w:r>
      <w:r>
        <w:t xml:space="preserve"> </w:t>
      </w:r>
      <w:r>
        <w:t xml:space="preserve">Similarity percentage (0-100)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Match Type:</w:t>
      </w:r>
      <w:r>
        <w:t xml:space="preserve"> </w:t>
      </w:r>
      <w:r>
        <w:t xml:space="preserve">How the match was detected (name, identifier, combined)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Actions:</w:t>
      </w:r>
      <w:r>
        <w:t xml:space="preserve"> </w:t>
      </w:r>
      <w:r>
        <w:t xml:space="preserve">Compare, Merge, or Dismiss</w:t>
      </w:r>
    </w:p>
    <w:bookmarkEnd w:id="57"/>
    <w:bookmarkStart w:id="58" w:name="comparing-pairs"/>
    <w:p>
      <w:pPr>
        <w:pStyle w:val="Heading3"/>
      </w:pPr>
      <w:r>
        <w:t xml:space="preserve">Comparing Pairs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Compare</w:t>
      </w:r>
      <w:r>
        <w:rPr>
          <w:bCs/>
          <w:b/>
        </w:rPr>
        <w:t xml:space="preserve">”</w:t>
      </w:r>
      <w:r>
        <w:t xml:space="preserve"> </w:t>
      </w:r>
      <w:r>
        <w:t xml:space="preserve">to see a side-by-side comparison of two potential duplicates with:</w:t>
      </w:r>
      <w:r>
        <w:t xml:space="preserve"> </w:t>
      </w:r>
      <w:r>
        <w:t xml:space="preserve">- Field-by-field matching indicators (green = match, red = mismatch)</w:t>
      </w:r>
      <w:r>
        <w:t xml:space="preserve"> </w:t>
      </w:r>
      <w:r>
        <w:t xml:space="preserve">- External identifier comparison</w:t>
      </w:r>
      <w:r>
        <w:t xml:space="preserve"> </w:t>
      </w:r>
      <w:r>
        <w:t xml:space="preserve">- Relationship and resource counts</w:t>
      </w:r>
      <w:r>
        <w:t xml:space="preserve"> </w:t>
      </w:r>
      <w:r>
        <w:t xml:space="preserve">- Recommended action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contact-information"/>
    <w:p>
      <w:pPr>
        <w:pStyle w:val="Heading2"/>
      </w:pPr>
      <w:r>
        <w:t xml:space="preserve">11. Contact Information</w:t>
      </w:r>
    </w:p>
    <w:p>
      <w:pPr>
        <w:pStyle w:val="FirstParagraph"/>
      </w:pPr>
      <w:r>
        <w:t xml:space="preserve">The contact panel displays contact details associated with an authority record.</w:t>
      </w:r>
    </w:p>
    <w:p>
      <w:pPr>
        <w:pStyle w:val="BodyText"/>
      </w:pPr>
      <w:r>
        <w:t xml:space="preserve">When ahgContactPlugin is installed, contact information (addresses, telephone numbers, email addresses, and websites) appears on the authority record page in a dedicated panel.</w:t>
      </w:r>
    </w:p>
    <w:p>
      <w:r>
        <w:pict>
          <v:rect style="width:0;height:1.5pt" o:hralign="center" o:hrstd="t" o:hr="t"/>
        </w:pict>
      </w:r>
    </w:p>
    <w:bookmarkEnd w:id="60"/>
    <w:bookmarkStart w:id="61" w:name="eac-cpf-export"/>
    <w:p>
      <w:pPr>
        <w:pStyle w:val="Heading2"/>
      </w:pPr>
      <w:r>
        <w:t xml:space="preserve">12. EAC-CPF Export</w:t>
      </w:r>
    </w:p>
    <w:p>
      <w:pPr>
        <w:pStyle w:val="FirstParagraph"/>
      </w:pPr>
      <w:r>
        <w:t xml:space="preserve">When exporting authority records in EAC-CPF format, the plugin automatically enriches the XML with: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Cs/>
          <w:b/>
        </w:rPr>
        <w:t xml:space="preserve">&lt;otherRecordId&gt;</w:t>
      </w:r>
      <w:r>
        <w:t xml:space="preserve"> </w:t>
      </w:r>
      <w:r>
        <w:t xml:space="preserve">elements for each external identifier (Wikidata, VIAF, etc.)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Cs/>
          <w:b/>
        </w:rPr>
        <w:t xml:space="preserve">&lt;source&gt;</w:t>
      </w:r>
      <w:r>
        <w:t xml:space="preserve"> </w:t>
      </w:r>
      <w:r>
        <w:t xml:space="preserve">elements with URIs and display labels</w:t>
      </w:r>
    </w:p>
    <w:p>
      <w:pPr>
        <w:pStyle w:val="FirstParagraph"/>
      </w:pPr>
      <w:r>
        <w:t xml:space="preserve">This enrichment is automatic and requires no user action.</w:t>
      </w:r>
    </w:p>
    <w:p>
      <w:r>
        <w:pict>
          <v:rect style="width:0;height:1.5pt" o:hralign="center" o:hrstd="t" o:hr="t"/>
        </w:pict>
      </w:r>
    </w:p>
    <w:bookmarkEnd w:id="61"/>
    <w:bookmarkStart w:id="67" w:name="configuration"/>
    <w:p>
      <w:pPr>
        <w:pStyle w:val="Heading2"/>
      </w:pPr>
      <w:r>
        <w:t xml:space="preserve">13. Configuration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Cs/>
          <w:b/>
        </w:rPr>
        <w:t xml:space="preserve">Admin &gt; AHG Settings &gt; Authority Records</w:t>
      </w:r>
      <w:r>
        <w:t xml:space="preserve"> </w:t>
      </w:r>
      <w:r>
        <w:t xml:space="preserve">to configure:</w:t>
      </w:r>
    </w:p>
    <w:bookmarkStart w:id="62" w:name="external-authority-sources"/>
    <w:p>
      <w:pPr>
        <w:pStyle w:val="Heading3"/>
      </w:pPr>
      <w:r>
        <w:t xml:space="preserve">External Authority Sources</w:t>
      </w:r>
    </w:p>
    <w:p>
      <w:pPr>
        <w:numPr>
          <w:ilvl w:val="0"/>
          <w:numId w:val="1023"/>
        </w:numPr>
        <w:pStyle w:val="Compact"/>
      </w:pPr>
      <w:r>
        <w:t xml:space="preserve">Enable/disable each authority source (Wikidata, VIAF, ULAN, LCNAF, ISNI)</w:t>
      </w:r>
    </w:p>
    <w:p>
      <w:pPr>
        <w:numPr>
          <w:ilvl w:val="0"/>
          <w:numId w:val="1023"/>
        </w:numPr>
        <w:pStyle w:val="Compact"/>
      </w:pPr>
      <w:r>
        <w:t xml:space="preserve">Auto-verify Wikidata identifiers</w:t>
      </w:r>
    </w:p>
    <w:bookmarkEnd w:id="62"/>
    <w:bookmarkStart w:id="63" w:name="completeness-quality"/>
    <w:p>
      <w:pPr>
        <w:pStyle w:val="Heading3"/>
      </w:pPr>
      <w:r>
        <w:t xml:space="preserve">Completeness &amp; Quality</w:t>
      </w:r>
    </w:p>
    <w:p>
      <w:pPr>
        <w:numPr>
          <w:ilvl w:val="0"/>
          <w:numId w:val="1024"/>
        </w:numPr>
        <w:pStyle w:val="Compact"/>
      </w:pPr>
      <w:r>
        <w:t xml:space="preserve">Auto-recalculate completeness scores</w:t>
      </w:r>
    </w:p>
    <w:p>
      <w:pPr>
        <w:numPr>
          <w:ilvl w:val="0"/>
          <w:numId w:val="1024"/>
        </w:numPr>
        <w:pStyle w:val="Compact"/>
      </w:pPr>
      <w:r>
        <w:t xml:space="preserve">Hide stub records from public browse</w:t>
      </w:r>
    </w:p>
    <w:bookmarkEnd w:id="63"/>
    <w:bookmarkStart w:id="64" w:name="ner-pipeline"/>
    <w:p>
      <w:pPr>
        <w:pStyle w:val="Heading3"/>
      </w:pPr>
      <w:r>
        <w:t xml:space="preserve">NER Pipeline</w:t>
      </w:r>
    </w:p>
    <w:p>
      <w:pPr>
        <w:numPr>
          <w:ilvl w:val="0"/>
          <w:numId w:val="1025"/>
        </w:numPr>
        <w:pStyle w:val="Compact"/>
      </w:pPr>
      <w:r>
        <w:t xml:space="preserve">Enable/disable automatic stub creation</w:t>
      </w:r>
    </w:p>
    <w:p>
      <w:pPr>
        <w:numPr>
          <w:ilvl w:val="0"/>
          <w:numId w:val="1025"/>
        </w:numPr>
        <w:pStyle w:val="Compact"/>
      </w:pPr>
      <w:r>
        <w:t xml:space="preserve">Set confidence threshold (0.0-1.0)</w:t>
      </w:r>
    </w:p>
    <w:bookmarkEnd w:id="64"/>
    <w:bookmarkStart w:id="65" w:name="merge-deduplication"/>
    <w:p>
      <w:pPr>
        <w:pStyle w:val="Heading3"/>
      </w:pPr>
      <w:r>
        <w:t xml:space="preserve">Merge &amp; Deduplication</w:t>
      </w:r>
    </w:p>
    <w:p>
      <w:pPr>
        <w:numPr>
          <w:ilvl w:val="0"/>
          <w:numId w:val="1026"/>
        </w:numPr>
        <w:pStyle w:val="Compact"/>
      </w:pPr>
      <w:r>
        <w:t xml:space="preserve">Require approval for merge operations</w:t>
      </w:r>
    </w:p>
    <w:p>
      <w:pPr>
        <w:numPr>
          <w:ilvl w:val="0"/>
          <w:numId w:val="1026"/>
        </w:numPr>
        <w:pStyle w:val="Compact"/>
      </w:pPr>
      <w:r>
        <w:t xml:space="preserve">Set dedup similarity threshold (0.0-1.0)</w:t>
      </w:r>
    </w:p>
    <w:bookmarkEnd w:id="65"/>
    <w:bookmarkStart w:id="66" w:name="isdf-functions"/>
    <w:p>
      <w:pPr>
        <w:pStyle w:val="Heading3"/>
      </w:pPr>
      <w:r>
        <w:t xml:space="preserve">ISDF Functions</w:t>
      </w:r>
    </w:p>
    <w:p>
      <w:pPr>
        <w:numPr>
          <w:ilvl w:val="0"/>
          <w:numId w:val="1027"/>
        </w:numPr>
        <w:pStyle w:val="Compact"/>
      </w:pPr>
      <w:r>
        <w:t xml:space="preserve">Enable/disable function linking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cli-tasks"/>
    <w:p>
      <w:pPr>
        <w:pStyle w:val="Heading2"/>
      </w:pPr>
      <w:r>
        <w:t xml:space="preserve">14. CLI Tasks</w:t>
      </w:r>
    </w:p>
    <w:p>
      <w:pPr>
        <w:pStyle w:val="FirstParagraph"/>
      </w:pPr>
      <w:r>
        <w:t xml:space="preserve">All CLI tasks are run from the AtoM root directory.</w:t>
      </w:r>
    </w:p>
    <w:bookmarkStart w:id="68" w:name="completeness-scan"/>
    <w:p>
      <w:pPr>
        <w:pStyle w:val="Heading3"/>
      </w:pPr>
      <w:r>
        <w:t xml:space="preserve">Completeness Scan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authority:completeness-scan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authority:completeness-scan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</w:p>
    <w:p>
      <w:pPr>
        <w:pStyle w:val="FirstParagraph"/>
      </w:pPr>
      <w:r>
        <w:t xml:space="preserve">Scans authority records and calculates completeness scores. Use</w:t>
      </w:r>
      <w:r>
        <w:t xml:space="preserve"> </w:t>
      </w:r>
      <w:r>
        <w:rPr>
          <w:rStyle w:val="VerbatimChar"/>
        </w:rPr>
        <w:t xml:space="preserve">--limit</w:t>
      </w:r>
      <w:r>
        <w:t xml:space="preserve"> </w:t>
      </w:r>
      <w:r>
        <w:t xml:space="preserve">to process a subset for testing.</w:t>
      </w:r>
    </w:p>
    <w:bookmarkEnd w:id="68"/>
    <w:bookmarkStart w:id="69" w:name="ner-pipeline-1"/>
    <w:p>
      <w:pPr>
        <w:pStyle w:val="Heading3"/>
      </w:pPr>
      <w:r>
        <w:t xml:space="preserve">NER Pipeline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authority:ner-pipeline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authority:ner-pipeline </w:t>
      </w:r>
      <w:r>
        <w:rPr>
          <w:rStyle w:val="AttributeTok"/>
        </w:rPr>
        <w:t xml:space="preserve">--dry-run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authority:ner-pipeline </w:t>
      </w:r>
      <w:r>
        <w:rPr>
          <w:rStyle w:val="AttributeTok"/>
        </w:rPr>
        <w:t xml:space="preserve">--threshold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0.90</w:t>
      </w:r>
    </w:p>
    <w:p>
      <w:pPr>
        <w:pStyle w:val="FirstParagraph"/>
      </w:pPr>
      <w:r>
        <w:t xml:space="preserve">Processes unlinked NER entities. Use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to preview without creating stubs.</w:t>
      </w:r>
    </w:p>
    <w:bookmarkEnd w:id="69"/>
    <w:bookmarkStart w:id="70" w:name="dedup-scan"/>
    <w:p>
      <w:pPr>
        <w:pStyle w:val="Heading3"/>
      </w:pPr>
      <w:r>
        <w:t xml:space="preserve">Dedup Scan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authority:dedup-scan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authority:dedup-scan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</w:t>
      </w:r>
    </w:p>
    <w:p>
      <w:pPr>
        <w:pStyle w:val="FirstParagraph"/>
      </w:pPr>
      <w:r>
        <w:t xml:space="preserve">Scans for potential duplicate authority records using name similarity.</w:t>
      </w:r>
    </w:p>
    <w:bookmarkEnd w:id="70"/>
    <w:bookmarkStart w:id="71" w:name="merge-report"/>
    <w:p>
      <w:pPr>
        <w:pStyle w:val="Heading3"/>
      </w:pPr>
      <w:r>
        <w:t xml:space="preserve">Merge Report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authority:merge-report</w:t>
      </w:r>
    </w:p>
    <w:p>
      <w:pPr>
        <w:pStyle w:val="FirstParagraph"/>
      </w:pPr>
      <w:r>
        <w:t xml:space="preserve">Generates a summary of all merge/split operations.</w:t>
      </w:r>
    </w:p>
    <w:bookmarkEnd w:id="71"/>
    <w:bookmarkStart w:id="72" w:name="function-sync"/>
    <w:p>
      <w:pPr>
        <w:pStyle w:val="Heading3"/>
      </w:pPr>
      <w:r>
        <w:t xml:space="preserve">Function Sync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authority:function-sync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authority:function-sync </w:t>
      </w:r>
      <w:r>
        <w:rPr>
          <w:rStyle w:val="AttributeTok"/>
        </w:rPr>
        <w:t xml:space="preserve">--clean</w:t>
      </w:r>
    </w:p>
    <w:p>
      <w:pPr>
        <w:pStyle w:val="FirstParagraph"/>
      </w:pPr>
      <w:r>
        <w:t xml:space="preserve">Validates actor-function links. Use</w:t>
      </w:r>
      <w:r>
        <w:t xml:space="preserve"> </w:t>
      </w:r>
      <w:r>
        <w:rPr>
          <w:rStyle w:val="VerbatimChar"/>
        </w:rPr>
        <w:t xml:space="preserve">--clean</w:t>
      </w:r>
      <w:r>
        <w:t xml:space="preserve"> </w:t>
      </w:r>
      <w:r>
        <w:t xml:space="preserve">to remove orphaned links.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cron-job-examples"/>
    <w:p>
      <w:pPr>
        <w:pStyle w:val="Heading2"/>
      </w:pPr>
      <w:r>
        <w:t xml:space="preserve">Cron Job Examples</w:t>
      </w:r>
    </w:p>
    <w:p>
      <w:pPr>
        <w:pStyle w:val="SourceCode"/>
      </w:pPr>
      <w:r>
        <w:rPr>
          <w:rStyle w:val="CommentTok"/>
        </w:rPr>
        <w:t xml:space="preserve"># Daily completeness scan at 3 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authority:completeness-scan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/var/log/atom/authority-completeness.log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Daily NER pipeline at 4 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4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authority:ner-pipeline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/var/log/atom/authority-ner.log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Weekly dedup scan on Sunday at 2 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0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authority:dedup-scan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/var/log/atom/authority-dedup.log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Monthly merge report on the 1st at 6 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6 1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authority:merge-report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/var/log/atom/authority-merge.log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Daily function sync at 5 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5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authority:function-sync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/var/log/atom/authority-function-sync.log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Copyright 2026 The Archive and Heritage Group (Pty) Ltd. All rights reserved.</w:t>
      </w:r>
    </w:p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- Authority Records User Manual</dc:title>
  <dc:creator>The Archive and Heritage Group (Pty) Ltd</dc:creator>
  <cp:keywords/>
  <dcterms:created xsi:type="dcterms:W3CDTF">2026-03-01T05:08:40Z</dcterms:created>
  <dcterms:modified xsi:type="dcterms:W3CDTF">2026-03-01T05:08:40Z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