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— Portable Export &amp; Import Feature Overview</w:t>
      </w:r>
    </w:p>
    <w:p>
      <w:pPr>
        <w:pStyle w:val="Author"/>
      </w:pPr>
      <w:r>
        <w:t xml:space="preserve">The Archive and Heritage Group (Pty) Ltd</w:t>
      </w:r>
    </w:p>
    <w:bookmarkStart w:id="35" w:name="atom-heratio-portable-export-import"/>
    <w:p>
      <w:pPr>
        <w:pStyle w:val="Heading1"/>
      </w:pPr>
      <w:r>
        <w:t xml:space="preserve">AtoM Heratio — Portable Export &amp; Import</w:t>
      </w:r>
    </w:p>
    <w:bookmarkStart w:id="20" w:name="feature-overview"/>
    <w:p>
      <w:pPr>
        <w:pStyle w:val="Heading2"/>
      </w:pPr>
      <w:r>
        <w:t xml:space="preserve">Feature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3.0.0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Exit Export &amp; Data Portability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Portable Export &amp; Import plugin provides a complete data portability solution for AtoM Heratio archival management instances. It enables institutions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Export</w:t>
      </w:r>
      <w:r>
        <w:t xml:space="preserve"> </w:t>
      </w:r>
      <w:r>
        <w:t xml:space="preserve">entire AtoM instances as structured, verifiable archive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Import</w:t>
      </w:r>
      <w:r>
        <w:t xml:space="preserve"> </w:t>
      </w:r>
      <w:r>
        <w:t xml:space="preserve">archive packages into fresh or existing instances with full ID remapping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Distribute</w:t>
      </w:r>
      <w:r>
        <w:t xml:space="preserve"> </w:t>
      </w:r>
      <w:r>
        <w:t xml:space="preserve">offline catalogue viewers for CD, USB, or web download</w:t>
      </w:r>
    </w:p>
    <w:p>
      <w:pPr>
        <w:pStyle w:val="FirstParagraph"/>
      </w:pPr>
      <w:r>
        <w:t xml:space="preserve">This plugin satisfies the exit/portability requirement — ensuring institutions retain full control of their data and can migrate between AtoM instances without vendor lock-in.</w:t>
      </w:r>
    </w:p>
    <w:p>
      <w:r>
        <w:pict>
          <v:rect style="width:0;height:1.5pt" o:hralign="center" o:hrstd="t" o:hr="t"/>
        </w:pict>
      </w:r>
    </w:p>
    <w:bookmarkEnd w:id="21"/>
    <w:bookmarkStart w:id="26" w:name="key-features"/>
    <w:p>
      <w:pPr>
        <w:pStyle w:val="Heading2"/>
      </w:pPr>
      <w:r>
        <w:t xml:space="preserve">Key Features</w:t>
      </w:r>
    </w:p>
    <w:bookmarkStart w:id="22" w:name="full-system-archive-export-v3.0"/>
    <w:p>
      <w:pPr>
        <w:pStyle w:val="Heading3"/>
      </w:pPr>
      <w:r>
        <w:t xml:space="preserve">Full-System Archive Export (v3.0)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15 entity types</w:t>
      </w:r>
      <w:r>
        <w:t xml:space="preserve"> </w:t>
      </w:r>
      <w:r>
        <w:t xml:space="preserve">exported as structured JSON: descriptions, authorities, taxonomies, rights, accessions, physical objects, events, notes, relations, digital objects, repositories, access points (object-term relations), settings, users/groups, and menus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SHA-256 checksummed manifest</w:t>
      </w:r>
      <w:r>
        <w:t xml:space="preserve"> </w:t>
      </w:r>
      <w:r>
        <w:t xml:space="preserve">for integrity verification of every file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Self-documenting packages</w:t>
      </w:r>
      <w:r>
        <w:t xml:space="preserve"> </w:t>
      </w:r>
      <w:r>
        <w:t xml:space="preserve">with README.md and schema documentation embedded in the manifest</w:t>
      </w:r>
    </w:p>
    <w:p>
      <w:pPr>
        <w:numPr>
          <w:ilvl w:val="0"/>
          <w:numId w:val="1002"/>
        </w:numPr>
        <w:pStyle w:val="Compact"/>
      </w:pPr>
      <w:r>
        <w:t xml:space="preserve">Dry-run estimate before export (record counts, estimated size, duration)</w:t>
      </w:r>
    </w:p>
    <w:p>
      <w:pPr>
        <w:numPr>
          <w:ilvl w:val="0"/>
          <w:numId w:val="1002"/>
        </w:numPr>
        <w:pStyle w:val="Compact"/>
      </w:pPr>
      <w:r>
        <w:t xml:space="preserve">All i18n cultures preserved per entity</w:t>
      </w:r>
    </w:p>
    <w:p>
      <w:pPr>
        <w:numPr>
          <w:ilvl w:val="0"/>
          <w:numId w:val="1002"/>
        </w:numPr>
        <w:pStyle w:val="Compact"/>
      </w:pPr>
      <w:r>
        <w:t xml:space="preserve">Sensitive data excluded (passwords, tokens, API keys)</w:t>
      </w:r>
    </w:p>
    <w:bookmarkEnd w:id="22"/>
    <w:bookmarkStart w:id="23" w:name="full-system-archive-import-v3.0"/>
    <w:p>
      <w:pPr>
        <w:pStyle w:val="Heading3"/>
      </w:pPr>
      <w:r>
        <w:t xml:space="preserve">Full-System Archive Import (v3.0)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FK-dependency-ordered import pipeline</w:t>
      </w:r>
      <w:r>
        <w:t xml:space="preserve"> </w:t>
      </w:r>
      <w:r>
        <w:t xml:space="preserve">— entities imported in the correct order to maintain referential integrity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 remapping</w:t>
      </w:r>
      <w:r>
        <w:t xml:space="preserve"> </w:t>
      </w:r>
      <w:r>
        <w:t xml:space="preserve">— all source IDs automatically mapped to new target IDs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Three import modes: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Merge</w:t>
      </w:r>
      <w:r>
        <w:t xml:space="preserve"> </w:t>
      </w:r>
      <w:r>
        <w:t xml:space="preserve">— Skip existing records, import only new (safe default)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Dry Run</w:t>
      </w:r>
      <w:r>
        <w:t xml:space="preserve"> </w:t>
      </w:r>
      <w:r>
        <w:t xml:space="preserve">— Validate and report without database changes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Replace</w:t>
      </w:r>
      <w:r>
        <w:t xml:space="preserve"> </w:t>
      </w:r>
      <w:r>
        <w:t xml:space="preserve">— Clear and re-import (with confirmation safeguards)</w:t>
      </w:r>
    </w:p>
    <w:p>
      <w:pPr>
        <w:numPr>
          <w:ilvl w:val="0"/>
          <w:numId w:val="1003"/>
        </w:numPr>
        <w:pStyle w:val="Compact"/>
      </w:pPr>
      <w:r>
        <w:t xml:space="preserve">Digital object file copying — asset files transferred to correct upload paths</w:t>
      </w:r>
    </w:p>
    <w:p>
      <w:pPr>
        <w:numPr>
          <w:ilvl w:val="0"/>
          <w:numId w:val="1003"/>
        </w:numPr>
        <w:pStyle w:val="Compact"/>
      </w:pPr>
      <w:r>
        <w:t xml:space="preserve">Secure user import — user accounts imported without passwords (must be reset)</w:t>
      </w:r>
    </w:p>
    <w:bookmarkEnd w:id="23"/>
    <w:bookmarkStart w:id="24" w:name="viewer-export-mode"/>
    <w:p>
      <w:pPr>
        <w:pStyle w:val="Heading3"/>
      </w:pPr>
      <w:r>
        <w:t xml:space="preserve">Viewer Export Mode</w:t>
      </w:r>
    </w:p>
    <w:p>
      <w:pPr>
        <w:numPr>
          <w:ilvl w:val="0"/>
          <w:numId w:val="1005"/>
        </w:numPr>
        <w:pStyle w:val="Compact"/>
      </w:pPr>
      <w:r>
        <w:t xml:space="preserve">Self-contained HTML/JS viewer — zero server dependencies</w:t>
      </w:r>
    </w:p>
    <w:p>
      <w:pPr>
        <w:numPr>
          <w:ilvl w:val="0"/>
          <w:numId w:val="1005"/>
        </w:numPr>
        <w:pStyle w:val="Compact"/>
      </w:pPr>
      <w:r>
        <w:t xml:space="preserve">Client-side search powered by FlexSearch</w:t>
      </w:r>
    </w:p>
    <w:p>
      <w:pPr>
        <w:numPr>
          <w:ilvl w:val="0"/>
          <w:numId w:val="1005"/>
        </w:numPr>
        <w:pStyle w:val="Compact"/>
      </w:pPr>
      <w:r>
        <w:t xml:space="preserve">Hierarchical tree navigation (MPTT-ordered)</w:t>
      </w:r>
    </w:p>
    <w:p>
      <w:pPr>
        <w:numPr>
          <w:ilvl w:val="0"/>
          <w:numId w:val="1005"/>
        </w:numPr>
        <w:pStyle w:val="Compact"/>
      </w:pPr>
      <w:r>
        <w:t xml:space="preserve">Digital object inline viewing (images, PDFs)</w:t>
      </w:r>
    </w:p>
    <w:p>
      <w:pPr>
        <w:numPr>
          <w:ilvl w:val="0"/>
          <w:numId w:val="1005"/>
        </w:numPr>
        <w:pStyle w:val="Compact"/>
      </w:pPr>
      <w:r>
        <w:t xml:space="preserve">Editable mode for researcher notes and file import</w:t>
      </w:r>
    </w:p>
    <w:p>
      <w:pPr>
        <w:numPr>
          <w:ilvl w:val="0"/>
          <w:numId w:val="1005"/>
        </w:numPr>
        <w:pStyle w:val="Compact"/>
      </w:pPr>
      <w:r>
        <w:t xml:space="preserve">Configurable branding (title, subtitle, footer)</w:t>
      </w:r>
    </w:p>
    <w:bookmarkEnd w:id="24"/>
    <w:bookmarkStart w:id="25" w:name="shared-features"/>
    <w:p>
      <w:pPr>
        <w:pStyle w:val="Heading3"/>
      </w:pPr>
      <w:r>
        <w:t xml:space="preserve">Shared Features</w:t>
      </w:r>
    </w:p>
    <w:p>
      <w:pPr>
        <w:numPr>
          <w:ilvl w:val="0"/>
          <w:numId w:val="1006"/>
        </w:numPr>
        <w:pStyle w:val="Compact"/>
      </w:pPr>
      <w:r>
        <w:t xml:space="preserve">Export scopes: entire catalogue, specific fonds, by repository, custom (clipboard)</w:t>
      </w:r>
    </w:p>
    <w:p>
      <w:pPr>
        <w:numPr>
          <w:ilvl w:val="0"/>
          <w:numId w:val="1006"/>
        </w:numPr>
        <w:pStyle w:val="Compact"/>
      </w:pPr>
      <w:r>
        <w:t xml:space="preserve">Background processing with progress tracking (via QueueService or nohup fallback)</w:t>
      </w:r>
    </w:p>
    <w:p>
      <w:pPr>
        <w:numPr>
          <w:ilvl w:val="0"/>
          <w:numId w:val="1006"/>
        </w:numPr>
        <w:pStyle w:val="Compact"/>
      </w:pPr>
      <w:r>
        <w:t xml:space="preserve">Admin UI: 4-step export wizard + 3-step import wizard</w:t>
      </w:r>
    </w:p>
    <w:p>
      <w:pPr>
        <w:numPr>
          <w:ilvl w:val="0"/>
          <w:numId w:val="1006"/>
        </w:numPr>
        <w:pStyle w:val="Compact"/>
      </w:pPr>
      <w:r>
        <w:t xml:space="preserve">Secure download tokens for sharing (time-limited, download-limited)</w:t>
      </w:r>
    </w:p>
    <w:p>
      <w:pPr>
        <w:numPr>
          <w:ilvl w:val="0"/>
          <w:numId w:val="1006"/>
        </w:numPr>
        <w:pStyle w:val="Compact"/>
      </w:pPr>
      <w:r>
        <w:t xml:space="preserve">CLI commands for automation (export, import, verify, cleanup)</w:t>
      </w:r>
    </w:p>
    <w:p>
      <w:pPr>
        <w:numPr>
          <w:ilvl w:val="0"/>
          <w:numId w:val="1006"/>
        </w:numPr>
        <w:pStyle w:val="Compact"/>
      </w:pPr>
      <w:r>
        <w:t xml:space="preserve">Automatic retention and cleanup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li-commands"/>
    <w:p>
      <w:pPr>
        <w:pStyle w:val="Heading2"/>
      </w:pPr>
      <w:r>
        <w:t xml:space="preserve">CLI Commands</w:t>
      </w:r>
    </w:p>
    <w:p>
      <w:pPr>
        <w:pStyle w:val="SourceCode"/>
      </w:pPr>
      <w:r>
        <w:rPr>
          <w:rStyle w:val="CommentTok"/>
        </w:rPr>
        <w:t xml:space="preserve"># Archive export (full system, 15 entity types)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Viewer export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my-fonds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read_only</w:t>
      </w:r>
      <w:r>
        <w:br/>
      </w:r>
      <w:r>
        <w:br/>
      </w:r>
      <w:r>
        <w:rPr>
          <w:rStyle w:val="CommentTok"/>
        </w:rPr>
        <w:t xml:space="preserve"># Import (dry run)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dry_run</w:t>
      </w:r>
      <w:r>
        <w:br/>
      </w:r>
      <w:r>
        <w:br/>
      </w:r>
      <w:r>
        <w:rPr>
          <w:rStyle w:val="CommentTok"/>
        </w:rPr>
        <w:t xml:space="preserve"># Import (merge — skip existing, import new)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</w:t>
      </w:r>
      <w:r>
        <w:br/>
      </w:r>
      <w:r>
        <w:br/>
      </w:r>
      <w:r>
        <w:rPr>
          <w:rStyle w:val="CommentTok"/>
        </w:rPr>
        <w:t xml:space="preserve"># Import specific entity types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--entity-types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descriptions,authorities,taxonomies</w:t>
      </w:r>
      <w:r>
        <w:br/>
      </w:r>
      <w:r>
        <w:br/>
      </w:r>
      <w:r>
        <w:rPr>
          <w:rStyle w:val="CommentTok"/>
        </w:rPr>
        <w:t xml:space="preserve"># Verify an archive export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/path/to/export.zip</w:t>
      </w:r>
      <w:r>
        <w:br/>
      </w:r>
      <w:r>
        <w:br/>
      </w:r>
      <w:r>
        <w:rPr>
          <w:rStyle w:val="CommentTok"/>
        </w:rPr>
        <w:t xml:space="preserve"># Clean up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</w:p>
    <w:p>
      <w:r>
        <w:pict>
          <v:rect style="width:0;height:1.5pt" o:hralign="center" o:hrstd="t" o:hr="t"/>
        </w:pict>
      </w:r>
    </w:p>
    <w:bookmarkEnd w:id="27"/>
    <w:bookmarkStart w:id="28" w:name="archive-export-package-structure"/>
    <w:p>
      <w:pPr>
        <w:pStyle w:val="Heading2"/>
      </w:pPr>
      <w:r>
        <w:t xml:space="preserve">Archive Export Package Structure</w:t>
      </w:r>
    </w:p>
    <w:p>
      <w:pPr>
        <w:pStyle w:val="SourceCode"/>
      </w:pPr>
      <w:r>
        <w:rPr>
          <w:rStyle w:val="VerbatimChar"/>
        </w:rPr>
        <w:t xml:space="preserve">export-{id}/</w:t>
      </w:r>
      <w:r>
        <w:br/>
      </w:r>
      <w:r>
        <w:rPr>
          <w:rStyle w:val="VerbatimChar"/>
        </w:rPr>
        <w:t xml:space="preserve">  manifest.json              # Checksums, entity counts, schema, export metadata</w:t>
      </w:r>
      <w:r>
        <w:br/>
      </w:r>
      <w:r>
        <w:rPr>
          <w:rStyle w:val="VerbatimChar"/>
        </w:rPr>
        <w:t xml:space="preserve">  README.md                  # Package overview + re-import instructions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descriptions.json        # ISAD(G) fields + all i18n + properties</w:t>
      </w:r>
      <w:r>
        <w:br/>
      </w:r>
      <w:r>
        <w:rPr>
          <w:rStyle w:val="VerbatimChar"/>
        </w:rPr>
        <w:t xml:space="preserve">    authorities.json         # Actors with type, dates, relations</w:t>
      </w:r>
      <w:r>
        <w:br/>
      </w:r>
      <w:r>
        <w:rPr>
          <w:rStyle w:val="VerbatimChar"/>
        </w:rPr>
        <w:t xml:space="preserve">    taxonomies.json          # Full taxonomy trees with parent-child</w:t>
      </w:r>
      <w:r>
        <w:br/>
      </w:r>
      <w:r>
        <w:rPr>
          <w:rStyle w:val="VerbatimChar"/>
        </w:rPr>
        <w:t xml:space="preserve">    rights.json              # Rights statements linked to objects</w:t>
      </w:r>
      <w:r>
        <w:br/>
      </w:r>
      <w:r>
        <w:rPr>
          <w:rStyle w:val="VerbatimChar"/>
        </w:rPr>
        <w:t xml:space="preserve">    accessions.json          # Accession records + events + donors</w:t>
      </w:r>
      <w:r>
        <w:br/>
      </w:r>
      <w:r>
        <w:rPr>
          <w:rStyle w:val="VerbatimChar"/>
        </w:rPr>
        <w:t xml:space="preserve">    physical_objects.json    # Storage locations</w:t>
      </w:r>
      <w:r>
        <w:br/>
      </w:r>
      <w:r>
        <w:rPr>
          <w:rStyle w:val="VerbatimChar"/>
        </w:rPr>
        <w:t xml:space="preserve">    events.json              # Events linked to descriptions</w:t>
      </w:r>
      <w:r>
        <w:br/>
      </w:r>
      <w:r>
        <w:rPr>
          <w:rStyle w:val="VerbatimChar"/>
        </w:rPr>
        <w:t xml:space="preserve">    notes.json               # Notes by type</w:t>
      </w:r>
      <w:r>
        <w:br/>
      </w:r>
      <w:r>
        <w:rPr>
          <w:rStyle w:val="VerbatimChar"/>
        </w:rPr>
        <w:t xml:space="preserve">    relations.json           # Inter-entity relationships</w:t>
      </w:r>
      <w:r>
        <w:br/>
      </w:r>
      <w:r>
        <w:rPr>
          <w:rStyle w:val="VerbatimChar"/>
        </w:rPr>
        <w:t xml:space="preserve">    digital_objects.json     # Digital object metadata</w:t>
      </w:r>
      <w:r>
        <w:br/>
      </w:r>
      <w:r>
        <w:rPr>
          <w:rStyle w:val="VerbatimChar"/>
        </w:rPr>
        <w:t xml:space="preserve">    repositories.json        # Repository metadata + contacts</w:t>
      </w:r>
      <w:r>
        <w:br/>
      </w:r>
      <w:r>
        <w:rPr>
          <w:rStyle w:val="VerbatimChar"/>
        </w:rPr>
        <w:t xml:space="preserve">    object_term_relations.json # Subject/place/genre access points</w:t>
      </w:r>
      <w:r>
        <w:br/>
      </w:r>
      <w:r>
        <w:rPr>
          <w:rStyle w:val="VerbatimChar"/>
        </w:rPr>
        <w:t xml:space="preserve">    settings.json            # System + plugin settings</w:t>
      </w:r>
      <w:r>
        <w:br/>
      </w:r>
      <w:r>
        <w:rPr>
          <w:rStyle w:val="VerbatimChar"/>
        </w:rPr>
        <w:t xml:space="preserve">    users.json               # Users, ACL groups, permissions</w:t>
      </w:r>
      <w:r>
        <w:br/>
      </w:r>
      <w:r>
        <w:rPr>
          <w:rStyle w:val="VerbatimChar"/>
        </w:rPr>
        <w:t xml:space="preserve">    menus.json               # Navigation structure (MPTT)</w:t>
      </w:r>
      <w:r>
        <w:br/>
      </w:r>
      <w:r>
        <w:rPr>
          <w:rStyle w:val="VerbatimChar"/>
        </w:rPr>
        <w:t xml:space="preserve">  objects/                   # Digital object files (if included)</w:t>
      </w:r>
    </w:p>
    <w:p>
      <w:r>
        <w:pict>
          <v:rect style="width:0;height:1.5pt" o:hralign="center" o:hrstd="t" o:hr="t"/>
        </w:pict>
      </w:r>
    </w:p>
    <w:bookmarkEnd w:id="28"/>
    <w:bookmarkStart w:id="29" w:name="technical-requirements"/>
    <w:p>
      <w:pPr>
        <w:pStyle w:val="Heading2"/>
      </w:pPr>
      <w:r>
        <w:t xml:space="preserve">Technical Requirements</w:t>
      </w:r>
    </w:p>
    <w:p>
      <w:pPr>
        <w:numPr>
          <w:ilvl w:val="0"/>
          <w:numId w:val="1007"/>
        </w:numPr>
        <w:pStyle w:val="Compact"/>
      </w:pPr>
      <w:r>
        <w:t xml:space="preserve">AtoM Heratio Framework v2.0+</w:t>
      </w:r>
    </w:p>
    <w:p>
      <w:pPr>
        <w:numPr>
          <w:ilvl w:val="0"/>
          <w:numId w:val="1007"/>
        </w:numPr>
        <w:pStyle w:val="Compact"/>
      </w:pPr>
      <w:r>
        <w:t xml:space="preserve">PHP 8.1+</w:t>
      </w:r>
    </w:p>
    <w:p>
      <w:pPr>
        <w:numPr>
          <w:ilvl w:val="0"/>
          <w:numId w:val="1007"/>
        </w:numPr>
        <w:pStyle w:val="Compact"/>
      </w:pPr>
      <w:r>
        <w:t xml:space="preserve">MySQL 8.0+</w:t>
      </w:r>
    </w:p>
    <w:p>
      <w:pPr>
        <w:numPr>
          <w:ilvl w:val="0"/>
          <w:numId w:val="1007"/>
        </w:numPr>
        <w:pStyle w:val="Compact"/>
      </w:pPr>
      <w:r>
        <w:t xml:space="preserve">ahgCorePlugin (dependency)</w:t>
      </w:r>
    </w:p>
    <w:p>
      <w:r>
        <w:pict>
          <v:rect style="width:0;height:1.5pt" o:hralign="center" o:hrstd="t" o:hr="t"/>
        </w:pict>
      </w:r>
    </w:p>
    <w:bookmarkEnd w:id="29"/>
    <w:bookmarkStart w:id="30" w:name="compliance-standards"/>
    <w:p>
      <w:pPr>
        <w:pStyle w:val="Heading2"/>
      </w:pPr>
      <w:r>
        <w:t xml:space="preserve">Compliance &amp; Standards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OAIS (ISO 14721)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packages align with SIP/AIP concepts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file checksummed in manifest for bit-level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descriptive metadata 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ISAAR(CPF)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records with complete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exit path — no vendor lock-in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admin-ui"/>
    <w:p>
      <w:pPr>
        <w:pStyle w:val="Heading2"/>
      </w:pPr>
      <w:r>
        <w:t xml:space="preserve">Admin UI</w:t>
      </w:r>
    </w:p>
    <w:bookmarkStart w:id="31" w:name="export-wizard"/>
    <w:p>
      <w:pPr>
        <w:pStyle w:val="Heading3"/>
      </w:pPr>
      <w:r>
        <w:t xml:space="preserve">Export Wizard</w:t>
      </w:r>
    </w:p>
    <w:p>
      <w:pPr>
        <w:pStyle w:val="FirstParagraph"/>
      </w:pPr>
      <w:r>
        <w:t xml:space="preserve">Access via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/portable-export</w:t>
      </w:r>
      <w:r>
        <w:t xml:space="preserve">).</w:t>
      </w:r>
    </w:p>
    <w:p>
      <w:pPr>
        <w:pStyle w:val="BodyText"/>
      </w:pPr>
      <w:r>
        <w:t xml:space="preserve">4-step wizard: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Scope</w:t>
      </w:r>
      <w:r>
        <w:t xml:space="preserve"> </w:t>
      </w:r>
      <w:r>
        <w:t xml:space="preserve">— Select what to export (all, fonds, repository)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— Choose export type (Viewer/Archive), entity types, digital objects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Configure</w:t>
      </w:r>
      <w:r>
        <w:t xml:space="preserve"> </w:t>
      </w:r>
      <w:r>
        <w:t xml:space="preserve">— Title, language, branding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Generate</w:t>
      </w:r>
      <w:r>
        <w:t xml:space="preserve"> </w:t>
      </w:r>
      <w:r>
        <w:t xml:space="preserve">— Review settings, start export, monitor progress</w:t>
      </w:r>
    </w:p>
    <w:bookmarkEnd w:id="31"/>
    <w:bookmarkStart w:id="32" w:name="import-wizard"/>
    <w:p>
      <w:pPr>
        <w:pStyle w:val="Heading3"/>
      </w:pPr>
      <w:r>
        <w:t xml:space="preserve">Import Wizard</w:t>
      </w:r>
    </w:p>
    <w:p>
      <w:pPr>
        <w:pStyle w:val="FirstParagraph"/>
      </w:pPr>
      <w:r>
        <w:t xml:space="preserve">Access via</w:t>
      </w:r>
      <w:r>
        <w:t xml:space="preserve"> </w:t>
      </w:r>
      <w:r>
        <w:rPr>
          <w:rStyle w:val="VerbatimChar"/>
        </w:rPr>
        <w:t xml:space="preserve">/portable-export/import</w:t>
      </w:r>
      <w:r>
        <w:t xml:space="preserve"> </w:t>
      </w:r>
      <w:r>
        <w:t xml:space="preserve">(or click</w:t>
      </w:r>
      <w:r>
        <w:t xml:space="preserve"> </w:t>
      </w:r>
      <w:r>
        <w:t xml:space="preserve">“</w:t>
      </w:r>
      <w:r>
        <w:t xml:space="preserve">Import Archive</w:t>
      </w:r>
      <w:r>
        <w:t xml:space="preserve">”</w:t>
      </w:r>
      <w:r>
        <w:t xml:space="preserve"> </w:t>
      </w:r>
      <w:r>
        <w:t xml:space="preserve">on the export page).</w:t>
      </w:r>
    </w:p>
    <w:p>
      <w:pPr>
        <w:pStyle w:val="BodyText"/>
      </w:pPr>
      <w:r>
        <w:t xml:space="preserve">3-step wizard: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Upload</w:t>
      </w:r>
      <w:r>
        <w:t xml:space="preserve"> </w:t>
      </w:r>
      <w:r>
        <w:t xml:space="preserve">— Upload ZIP or enter server path, validate archive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Configure</w:t>
      </w:r>
      <w:r>
        <w:t xml:space="preserve"> </w:t>
      </w:r>
      <w:r>
        <w:t xml:space="preserve">— Select mode (merge/dry-run/replace), choose entity types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Import</w:t>
      </w:r>
      <w:r>
        <w:t xml:space="preserve"> </w:t>
      </w:r>
      <w:r>
        <w:t xml:space="preserve">— Real-time progress with imported/skipped/error counters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atabase-tables"/>
    <w:p>
      <w:pPr>
        <w:pStyle w:val="Heading2"/>
      </w:pPr>
      <w:r>
        <w:t xml:space="preserve">Database Tables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portable_export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job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portable_export_token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download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portable_import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job tracking with ID mapping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</w:t>
      </w:r>
      <w:r>
        <w:t xml:space="preserve"> </w:t>
      </w:r>
      <w:r>
        <w:rPr>
          <w:iCs/>
          <w:i/>
        </w:rPr>
        <w:t xml:space="preserve">https://www.theahg.co.za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— Portable Export &amp; Import Feature Overview</dc:title>
  <dc:creator>The Archive and Heritage Group (Pty) Ltd</dc:creator>
  <cp:keywords/>
  <dcterms:created xsi:type="dcterms:W3CDTF">2026-03-01T13:20:49Z</dcterms:created>
  <dcterms:modified xsi:type="dcterms:W3CDTF">2026-03-01T13:20:49Z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