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 Central — Fleet Monitoring (AtoM Heratio)</w:t>
      </w:r>
    </w:p>
    <w:p>
      <w:pPr>
        <w:pStyle w:val="Author"/>
      </w:pPr>
      <w:r>
        <w:t xml:space="preserve">The Archive and Heritage Group (Pty) Ltd</w:t>
      </w:r>
    </w:p>
    <w:bookmarkStart w:id="25" w:name="X606d1b20a76787ff1a9508000f77a3193704f0d"/>
    <w:p>
      <w:pPr>
        <w:pStyle w:val="Heading1"/>
      </w:pPr>
      <w:r>
        <w:t xml:space="preserve">AHG Central — Fleet Monitoring (AtoM Heratio)</w:t>
      </w:r>
    </w:p>
    <w:p>
      <w:pPr>
        <w:pStyle w:val="FirstParagraph"/>
      </w:pPr>
      <w:r>
        <w:t xml:space="preserve">AHG Central is the optional cloud service from The Archive and Heritage Group</w:t>
      </w:r>
      <w:r>
        <w:t xml:space="preserve"> </w:t>
      </w:r>
      <w:r>
        <w:t xml:space="preserve">that lets a group of AtoM Heratio installs be watched from one place. Each</w:t>
      </w:r>
      <w:r>
        <w:t xml:space="preserve"> </w:t>
      </w:r>
      <w:r>
        <w:t xml:space="preserve">install reports a daily</w:t>
      </w:r>
      <w:r>
        <w:t xml:space="preserve"> </w:t>
      </w:r>
      <w:r>
        <w:rPr>
          <w:bCs/>
          <w:b/>
        </w:rPr>
        <w:t xml:space="preserve">heartbeat</w:t>
      </w:r>
      <w:r>
        <w:t xml:space="preserve"> </w:t>
      </w:r>
      <w:r>
        <w:t xml:space="preserve">(it is alive, and on which version) and —</w:t>
      </w:r>
      <w:r>
        <w:t xml:space="preserve"> </w:t>
      </w:r>
      <w:r>
        <w:t xml:space="preserve">when the operator opts in — an hourly</w:t>
      </w:r>
      <w:r>
        <w:t xml:space="preserve"> </w:t>
      </w:r>
      <w:r>
        <w:rPr>
          <w:bCs/>
          <w:b/>
        </w:rPr>
        <w:t xml:space="preserve">error-log sync</w:t>
      </w:r>
      <w:r>
        <w:t xml:space="preserve">. The fleet is</w:t>
      </w:r>
      <w:r>
        <w:t xml:space="preserve"> </w:t>
      </w:r>
      <w:r>
        <w:t xml:space="preserve">monitored from the AHG Workbench.</w:t>
      </w:r>
    </w:p>
    <w:p>
      <w:pPr>
        <w:pStyle w:val="BodyText"/>
      </w:pPr>
      <w:r>
        <w:t xml:space="preserve">AHG Central is</w:t>
      </w:r>
      <w:r>
        <w:t xml:space="preserve"> </w:t>
      </w:r>
      <w:r>
        <w:rPr>
          <w:bCs/>
          <w:b/>
        </w:rPr>
        <w:t xml:space="preserve">advisory</w:t>
      </w:r>
      <w:r>
        <w:t xml:space="preserve">. If it is switched off, unreachable, or the</w:t>
      </w:r>
      <w:r>
        <w:t xml:space="preserve"> </w:t>
      </w:r>
      <w:r>
        <w:t xml:space="preserve">install is air-gapped, AtoM Heratio runs exactly as before — nothing in the</w:t>
      </w:r>
      <w:r>
        <w:t xml:space="preserve"> </w:t>
      </w:r>
      <w:r>
        <w:t xml:space="preserve">product depends on it.</w:t>
      </w:r>
    </w:p>
    <w:p>
      <w:pPr>
        <w:pStyle w:val="BodyText"/>
      </w:pPr>
      <w:r>
        <w:t xml:space="preserve">Configure it at</w:t>
      </w:r>
      <w:r>
        <w:t xml:space="preserve"> </w:t>
      </w:r>
      <w:r>
        <w:rPr>
          <w:bCs/>
          <w:b/>
        </w:rPr>
        <w:t xml:space="preserve">Admin → AHG Settings → AHG Integration</w:t>
      </w:r>
      <w:r>
        <w:t xml:space="preserve">.</w:t>
      </w:r>
    </w:p>
    <w:bookmarkStart w:id="20" w:name="onboarding-is-automatic"/>
    <w:p>
      <w:pPr>
        <w:pStyle w:val="Heading2"/>
      </w:pPr>
      <w:r>
        <w:t xml:space="preserve">Onboarding is automatic</w:t>
      </w:r>
    </w:p>
    <w:p>
      <w:pPr>
        <w:pStyle w:val="FirstParagraph"/>
      </w:pPr>
      <w:r>
        <w:t xml:space="preserve">A fresh AtoM Heratio install joins the fleet without any registration form:</w:t>
      </w:r>
    </w:p>
    <w:p>
      <w:pPr>
        <w:numPr>
          <w:ilvl w:val="0"/>
          <w:numId w:val="1001"/>
        </w:numPr>
        <w:pStyle w:val="Compact"/>
      </w:pPr>
      <w:r>
        <w:t xml:space="preserve">the AHG Central client ships inside the AHG plugin collection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ahgCorePlugin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AhgCentralService</w:t>
      </w:r>
      <w:r>
        <w:t xml:space="preserve">, with the optional standalone</w:t>
      </w:r>
      <w:r>
        <w:t xml:space="preserve"> </w:t>
      </w:r>
      <w:r>
        <w:rPr>
          <w:rStyle w:val="VerbatimChar"/>
        </w:rPr>
        <w:t xml:space="preserve">ahgCentralPlugin</w:t>
      </w:r>
      <w:r>
        <w:t xml:space="preserve"> </w:t>
      </w:r>
      <w:r>
        <w:t xml:space="preserve">as a universal alternative);</w:t>
      </w:r>
    </w:p>
    <w:p>
      <w:pPr>
        <w:numPr>
          <w:ilvl w:val="0"/>
          <w:numId w:val="1001"/>
        </w:numPr>
        <w:pStyle w:val="Compact"/>
      </w:pPr>
      <w:r>
        <w:t xml:space="preserve">the install reads its connection settings from the AHG Integration page;</w:t>
      </w:r>
    </w:p>
    <w:p>
      <w:pPr>
        <w:numPr>
          <w:ilvl w:val="0"/>
          <w:numId w:val="1001"/>
        </w:numPr>
        <w:pStyle w:val="Compact"/>
      </w:pPr>
      <w:r>
        <w:t xml:space="preserve">it identifies itself from the server hostname (</w:t>
      </w:r>
      <w:r>
        <w:rPr>
          <w:rStyle w:val="VerbatimChar"/>
        </w:rPr>
        <w:t xml:space="preserve">atom-&lt;hostname&gt;</w:t>
      </w:r>
      <w:r>
        <w:t xml:space="preserve">);</w:t>
      </w:r>
    </w:p>
    <w:p>
      <w:pPr>
        <w:numPr>
          <w:ilvl w:val="0"/>
          <w:numId w:val="1001"/>
        </w:numPr>
        <w:pStyle w:val="Compact"/>
      </w:pPr>
      <w:r>
        <w:t xml:space="preserve">on its first heartbeat, AHG Central registers it automatically.</w:t>
      </w:r>
    </w:p>
    <w:p>
      <w:pPr>
        <w:pStyle w:val="FirstParagraph"/>
      </w:pPr>
      <w:r>
        <w:t xml:space="preserve">Paste the fleet enrolment key once on the AHG Integration page, tick</w:t>
      </w:r>
      <w:r>
        <w:t xml:space="preserve"> </w:t>
      </w:r>
      <w:r>
        <w:rPr>
          <w:bCs/>
          <w:b/>
        </w:rPr>
        <w:t xml:space="preserve">Enable AHG Central Integration</w:t>
      </w:r>
      <w:r>
        <w:t xml:space="preserve">, and save. The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 </w:t>
      </w:r>
      <w:r>
        <w:t xml:space="preserve">button</w:t>
      </w:r>
      <w:r>
        <w:t xml:space="preserve"> </w:t>
      </w:r>
      <w:r>
        <w:t xml:space="preserve">confirms reachability before any data flows.</w:t>
      </w:r>
    </w:p>
    <w:bookmarkEnd w:id="20"/>
    <w:bookmarkStart w:id="21" w:name="cron-is-required"/>
    <w:p>
      <w:pPr>
        <w:pStyle w:val="Heading2"/>
      </w:pPr>
      <w:r>
        <w:t xml:space="preserve">Cron is required</w:t>
      </w:r>
    </w:p>
    <w:p>
      <w:pPr>
        <w:pStyle w:val="FirstParagraph"/>
      </w:pPr>
      <w:r>
        <w:t xml:space="preserve">Unlike the Heratio Laravel platform — which auto-schedules the heartbeat —</w:t>
      </w:r>
      <w:r>
        <w:t xml:space="preserve"> </w:t>
      </w:r>
      <w:r>
        <w:t xml:space="preserve">the AtoM Heratio platform ships the tasks but</w:t>
      </w:r>
      <w:r>
        <w:t xml:space="preserve"> </w:t>
      </w:r>
      <w:r>
        <w:rPr>
          <w:bCs/>
          <w:b/>
        </w:rPr>
        <w:t xml:space="preserve">does not auto-schedule them</w:t>
      </w:r>
      <w:r>
        <w:t xml:space="preserve">.</w:t>
      </w:r>
      <w:r>
        <w:t xml:space="preserve"> </w:t>
      </w:r>
      <w:r>
        <w:t xml:space="preserve">Each install needs an explicit cron entry. The AHG Integration page shows the</w:t>
      </w:r>
      <w:r>
        <w:t xml:space="preserve"> </w:t>
      </w:r>
      <w:r>
        <w:t xml:space="preserve">exact commands; the default pattern is:</w:t>
      </w:r>
    </w:p>
    <w:p>
      <w:pPr>
        <w:pStyle w:val="SourceCode"/>
      </w:pPr>
      <w:r>
        <w:rPr>
          <w:rStyle w:val="VerbatimChar"/>
        </w:rPr>
        <w:t xml:space="preserve">0 5 * * *   cd /path/to/atom &amp;&amp; php symfony central:heartbeat</w:t>
      </w:r>
      <w:r>
        <w:br/>
      </w:r>
      <w:r>
        <w:rPr>
          <w:rStyle w:val="VerbatimChar"/>
        </w:rPr>
        <w:t xml:space="preserve">30 * * * *  cd /path/to/atom &amp;&amp; php symfony central:sync-errors</w:t>
      </w:r>
    </w:p>
    <w:p>
      <w:pPr>
        <w:pStyle w:val="FirstParagraph"/>
      </w:pPr>
      <w:r>
        <w:t xml:space="preserve">(If the standalone</w:t>
      </w:r>
      <w:r>
        <w:t xml:space="preserve"> </w:t>
      </w:r>
      <w:r>
        <w:rPr>
          <w:rStyle w:val="VerbatimChar"/>
        </w:rPr>
        <w:t xml:space="preserve">ahgCentralPlugin</w:t>
      </w:r>
      <w:r>
        <w:t xml:space="preserve"> </w:t>
      </w:r>
      <w:r>
        <w:t xml:space="preserve">is in use, the task names are</w:t>
      </w:r>
      <w:r>
        <w:t xml:space="preserve"> </w:t>
      </w:r>
      <w:r>
        <w:rPr>
          <w:rStyle w:val="VerbatimChar"/>
        </w:rPr>
        <w:t xml:space="preserve">ahg:central-heartbeat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ahg:central-sync-errors</w:t>
      </w:r>
      <w:r>
        <w:t xml:space="preserve"> </w:t>
      </w:r>
      <w:r>
        <w:t xml:space="preserve">— schedule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heartbeat path, not both.)</w:t>
      </w:r>
    </w:p>
    <w:bookmarkEnd w:id="21"/>
    <w:bookmarkStart w:id="22" w:name="error-log-sync-opt-in"/>
    <w:p>
      <w:pPr>
        <w:pStyle w:val="Heading2"/>
      </w:pPr>
      <w:r>
        <w:t xml:space="preserve">Error-log sync (opt-in)</w:t>
      </w:r>
    </w:p>
    <w:p>
      <w:pPr>
        <w:pStyle w:val="FirstParagraph"/>
      </w:pPr>
      <w:r>
        <w:rPr>
          <w:bCs/>
          <w:b/>
        </w:rPr>
        <w:t xml:space="preserve">Sync Error Logs to AHG Central</w:t>
      </w:r>
      <w:r>
        <w:t xml:space="preserve"> </w:t>
      </w:r>
      <w:r>
        <w:t xml:space="preserve">is a separate switch,</w:t>
      </w:r>
      <w:r>
        <w:t xml:space="preserve"> </w:t>
      </w:r>
      <w:r>
        <w:rPr>
          <w:bCs/>
          <w:b/>
        </w:rPr>
        <w:t xml:space="preserve">off by default</w:t>
      </w:r>
      <w:r>
        <w:t xml:space="preserve">.</w:t>
      </w:r>
      <w:r>
        <w:t xml:space="preserve"> </w:t>
      </w:r>
      <w:r>
        <w:t xml:space="preserve">Error logs can contain sensitive detail, so shipping them off the server</w:t>
      </w:r>
      <w:r>
        <w:t xml:space="preserve"> </w:t>
      </w:r>
      <w:r>
        <w:t xml:space="preserve">needs a deliberate decision.</w:t>
      </w:r>
    </w:p>
    <w:p>
      <w:pPr>
        <w:pStyle w:val="BodyText"/>
      </w:pPr>
      <w:r>
        <w:t xml:space="preserve">When you turn it on, AtoM Heratio sends the current set of open errors from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ahg_error_log</w:t>
      </w:r>
      <w:r>
        <w:t xml:space="preserve"> </w:t>
      </w:r>
      <w:r>
        <w:t xml:space="preserve">table once an hour,</w:t>
      </w:r>
      <w:r>
        <w:t xml:space="preserve"> </w:t>
      </w:r>
      <w:r>
        <w:rPr>
          <w:bCs/>
          <w:b/>
        </w:rPr>
        <w:t xml:space="preserve">redacted before they leave the</w:t>
      </w:r>
      <w:r>
        <w:rPr>
          <w:bCs/>
          <w:b/>
        </w:rPr>
        <w:t xml:space="preserve"> </w:t>
      </w:r>
      <w:r>
        <w:rPr>
          <w:bCs/>
          <w:b/>
        </w:rPr>
        <w:t xml:space="preserve">server</w:t>
      </w:r>
      <w:r>
        <w:t xml:space="preserve">: email addresses and long number sequences are masked, and URL</w:t>
      </w:r>
      <w:r>
        <w:t xml:space="preserve"> </w:t>
      </w:r>
      <w:r>
        <w:t xml:space="preserve">query strings are stripped. Stack traces, client IP addresses, user agents</w:t>
      </w:r>
      <w:r>
        <w:t xml:space="preserve"> </w:t>
      </w:r>
      <w:r>
        <w:t xml:space="preserve">and user ids are never sent at all. Only turn this on when your institution</w:t>
      </w:r>
      <w:r>
        <w:t xml:space="preserve"> </w:t>
      </w:r>
      <w:r>
        <w:t xml:space="preserve">is comfortable with off-site error visibility.</w:t>
      </w:r>
    </w:p>
    <w:bookmarkEnd w:id="22"/>
    <w:bookmarkStart w:id="23" w:name="where-you-watch-the-fleet"/>
    <w:p>
      <w:pPr>
        <w:pStyle w:val="Heading2"/>
      </w:pPr>
      <w:r>
        <w:t xml:space="preserve">Where you watch the fleet</w:t>
      </w:r>
    </w:p>
    <w:p>
      <w:pPr>
        <w:pStyle w:val="FirstParagraph"/>
      </w:pPr>
      <w:r>
        <w:t xml:space="preserve">Fleet monitoring lives in the</w:t>
      </w:r>
      <w:r>
        <w:t xml:space="preserve"> </w:t>
      </w:r>
      <w:r>
        <w:rPr>
          <w:bCs/>
          <w:b/>
        </w:rPr>
        <w:t xml:space="preserve">AHG Workbench</w:t>
      </w:r>
      <w:r>
        <w:t xml:space="preserve"> </w:t>
      </w:r>
      <w:r>
        <w:t xml:space="preserve">admin area. There an operator</w:t>
      </w:r>
      <w:r>
        <w:t xml:space="preserve"> </w:t>
      </w:r>
      <w:r>
        <w:t xml:space="preserve">sees every connected install — its version, when it was last seen, whether it</w:t>
      </w:r>
      <w:r>
        <w:t xml:space="preserve"> </w:t>
      </w:r>
      <w:r>
        <w:t xml:space="preserve">is online or has gone quiet — and recent errors across the whole fleet. The</w:t>
      </w:r>
      <w:r>
        <w:t xml:space="preserve"> </w:t>
      </w:r>
      <w:r>
        <w:t xml:space="preserve">Workbench also raises a notification when a new install joins, when an</w:t>
      </w:r>
      <w:r>
        <w:t xml:space="preserve"> </w:t>
      </w:r>
      <w:r>
        <w:t xml:space="preserve">install reports critical errors, or when an install goes silent.</w:t>
      </w:r>
    </w:p>
    <w:p>
      <w:pPr>
        <w:pStyle w:val="BodyText"/>
      </w:pPr>
      <w:r>
        <w:t xml:space="preserve">A simple fallback dashboard is available directly at</w:t>
      </w:r>
      <w:r>
        <w:t xml:space="preserve"> </w:t>
      </w:r>
      <w:r>
        <w:rPr>
          <w:rStyle w:val="VerbatimChar"/>
        </w:rPr>
        <w:t xml:space="preserve">central.theahg.co.za</w:t>
      </w:r>
      <w:r>
        <w:t xml:space="preserve">.</w:t>
      </w:r>
    </w:p>
    <w:bookmarkEnd w:id="23"/>
    <w:bookmarkStart w:id="24" w:name="the-settings"/>
    <w:p>
      <w:pPr>
        <w:pStyle w:val="Heading2"/>
      </w:pPr>
      <w:r>
        <w:t xml:space="preserve">The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AHG Central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all AHG Central traffic.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Error Logs to AHG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switch for hourly error-log sync. Off by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 Central API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AHG Central address. Pre-filled.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shared fleet enrolment key.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install’s identifier. Leave blank to derive it from the hostname.</w:t>
            </w:r>
          </w:p>
        </w:tc>
      </w:tr>
    </w:tbl>
    <w:p>
      <w:pPr>
        <w:pStyle w:val="BodyText"/>
      </w:pPr>
      <w:r>
        <w:t xml:space="preserve">Use the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 </w:t>
      </w:r>
      <w:r>
        <w:t xml:space="preserve">button to confirm the install can reach AHG</w:t>
      </w:r>
      <w:r>
        <w:t xml:space="preserve"> </w:t>
      </w:r>
      <w:r>
        <w:t xml:space="preserve">Central before saving.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 Central — Fleet Monitoring (AtoM Heratio)</dc:title>
  <dc:creator>The Archive and Heritage Group (Pty) Ltd</dc:creator>
  <cp:keywords/>
  <dcterms:created xsi:type="dcterms:W3CDTF">2026-05-23T13:18:10Z</dcterms:created>
  <dcterms:modified xsi:type="dcterms:W3CDTF">2026-05-23T13:18:10Z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