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Time-Limited Share Link — Feature Overview v0.2.0</w:t>
      </w:r>
    </w:p>
    <w:p>
      <w:pPr>
        <w:pStyle w:val="Author"/>
      </w:pPr>
      <w:r>
        <w:t xml:space="preserve">The Archive and Heritage Group (Pty) Ltd</w:t>
      </w:r>
    </w:p>
    <w:bookmarkStart w:id="30" w:name="time-limited-share-link-feature-overview"/>
    <w:p>
      <w:pPr>
        <w:pStyle w:val="Heading1"/>
      </w:pPr>
      <w:r>
        <w:t xml:space="preserve">Time-Limited Share Link — Feature Overview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ahgTimeLimitedShareLinkPlugin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ahg-share-link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0.2.0 (May 2026 — adds bookmarkable issue form)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Access control / public engagement</w:t>
      </w:r>
    </w:p>
    <w:bookmarkStart w:id="20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Lets authorised staff send a recipient a private, time-limited URL to a single archival record. Anyone holding the link sees the record’s title and description until the link expires or is revoked. Every issue, view, denial, and revocation is audited end-to-end.</w:t>
      </w:r>
    </w:p>
    <w:p>
      <w:pPr>
        <w:pStyle w:val="BodyText"/>
      </w:pPr>
      <w:r>
        <w:t xml:space="preserve">Designed for archives that need to share a record with a researcher, journalist, agency, or external reviewer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creating a permanent user account or making the record publicly browseable.</w:t>
      </w:r>
    </w:p>
    <w:bookmarkEnd w:id="20"/>
    <w:bookmarkStart w:id="21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Time-limited, single-record URLs.</w:t>
      </w:r>
      <w:r>
        <w:t xml:space="preserve"> </w:t>
      </w:r>
      <w:r>
        <w:t xml:space="preserve">Each link points to exactly one information object. Defaults to 14 days; capped at 90 days unless the issuer holds the</w:t>
      </w:r>
      <w:r>
        <w:t xml:space="preserve"> </w:t>
      </w:r>
      <w:r>
        <w:rPr>
          <w:rStyle w:val="VerbatimChar"/>
        </w:rPr>
        <w:t xml:space="preserve">share_link.create_unlimited_expiry</w:t>
      </w:r>
      <w:r>
        <w:t xml:space="preserve"> </w:t>
      </w:r>
      <w:r>
        <w:t xml:space="preserve">permission. Both defaults are admin-configurable.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HMAC-derived, unguessable tokens.</w:t>
      </w:r>
      <w:r>
        <w:t xml:space="preserve"> </w:t>
      </w:r>
      <w:r>
        <w:t xml:space="preserve">43-character URL-safe tokens generated with HMAC-SHA256 over a per-install secret. The secret is auto-bootstrapped on first use; rotation invalidates every existing token.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Optional visit quota.</w:t>
      </w:r>
      <w:r>
        <w:t xml:space="preserve"> </w:t>
      </w:r>
      <w:r>
        <w:t xml:space="preserve">Issuers can cap the number of times a link can be opened. Once the quota is exhausted the URL returns a friendly</w:t>
      </w:r>
      <w:r>
        <w:t xml:space="preserve"> </w:t>
      </w:r>
      <w:r>
        <w:t xml:space="preserve">“</w:t>
      </w:r>
      <w:r>
        <w:t xml:space="preserve">denied</w:t>
      </w:r>
      <w:r>
        <w:t xml:space="preserve">”</w:t>
      </w:r>
      <w:r>
        <w:t xml:space="preserve"> </w:t>
      </w:r>
      <w:r>
        <w:t xml:space="preserve">page; the access is still recorded.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Recipient hint.</w:t>
      </w:r>
      <w:r>
        <w:t xml:space="preserve"> </w:t>
      </w:r>
      <w:r>
        <w:t xml:space="preserve">Issuers can attach a recipient email and free-text note. Both are stored alongside the token for audit and to help admins recognise the link in the management UI.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Anonymous bearer access.</w:t>
      </w:r>
      <w:r>
        <w:t xml:space="preserve"> </w:t>
      </w:r>
      <w:r>
        <w:t xml:space="preserve">No login required on the recipient side — the token is the credential. The recipient lands on a clean record view branded</w:t>
      </w:r>
      <w:r>
        <w:t xml:space="preserve"> </w:t>
      </w:r>
      <w:r>
        <w:t xml:space="preserve">“</w:t>
      </w:r>
      <w:r>
        <w:t xml:space="preserve">Shared by</w:t>
      </w:r>
      <w:r>
        <w:t xml:space="preserve"> </w:t>
      </w:r>
      <w:r>
        <w:rPr>
          <w:iCs/>
          <w:i/>
        </w:rPr>
        <w:t xml:space="preserve">issuer</w:t>
      </w:r>
      <w:r>
        <w:t xml:space="preserve"> </w:t>
      </w:r>
      <w:r>
        <w:t xml:space="preserve">· expires</w:t>
      </w:r>
      <w:r>
        <w:t xml:space="preserve"> </w:t>
      </w:r>
      <w:r>
        <w:rPr>
          <w:iCs/>
          <w:i/>
        </w:rPr>
        <w:t xml:space="preserve">date</w:t>
      </w:r>
      <w:r>
        <w:t xml:space="preserve">”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 </w:t>
      </w:r>
      <w:r>
        <w:t xml:space="preserve">header to prevent token leakage via the Referer header.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Classified-record guard.</w:t>
      </w:r>
      <w:r>
        <w:t xml:space="preserve"> </w:t>
      </w:r>
      <w:r>
        <w:t xml:space="preserve">Issuing a link for a classified record requires the</w:t>
      </w:r>
      <w:r>
        <w:t xml:space="preserve"> </w:t>
      </w:r>
      <w:r>
        <w:rPr>
          <w:rStyle w:val="VerbatimChar"/>
        </w:rPr>
        <w:t xml:space="preserve">share_link.create_classified</w:t>
      </w:r>
      <w:r>
        <w:t xml:space="preserve"> </w:t>
      </w:r>
      <w:r>
        <w:t xml:space="preserve">permission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clearance at or above the record’s current classification level, enforced via</w:t>
      </w:r>
      <w:r>
        <w:t xml:space="preserve"> </w:t>
      </w:r>
      <w:r>
        <w:rPr>
          <w:rStyle w:val="VerbatimChar"/>
        </w:rPr>
        <w:t xml:space="preserve">ahgSecurityClearancePlugin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 index + per-token detail.</w:t>
      </w:r>
      <w:r>
        <w:t xml:space="preserve"> </w:t>
      </w:r>
      <w:r>
        <w:rPr>
          <w:rStyle w:val="VerbatimChar"/>
        </w:rPr>
        <w:t xml:space="preserve">/admin/share-links</w:t>
      </w:r>
      <w:r>
        <w:t xml:space="preserve"> </w:t>
      </w:r>
      <w:r>
        <w:t xml:space="preserve">lists every link with status (active / expired / revoked / exhausted), issuer, recipient, expiry, visit count, and revoke button. Per-token detail page shows the full access log (last 200 hits — IP, user agent, outcome).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One-click revocation.</w:t>
      </w:r>
      <w:r>
        <w:t xml:space="preserve"> </w:t>
      </w:r>
      <w:r>
        <w:t xml:space="preserve">Revoking a link sets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immediately. The very next click on the link returns a 410 with a</w:t>
      </w:r>
      <w:r>
        <w:t xml:space="preserve"> </w:t>
      </w:r>
      <w:r>
        <w:t xml:space="preserve">“</w:t>
      </w:r>
      <w:r>
        <w:t xml:space="preserve">revoked</w:t>
      </w:r>
      <w:r>
        <w:t xml:space="preserve">”</w:t>
      </w:r>
      <w:r>
        <w:t xml:space="preserve"> </w:t>
      </w:r>
      <w:r>
        <w:t xml:space="preserve">reason. Owners can revoke their own links; revoking another user’s link requires the</w:t>
      </w:r>
      <w:r>
        <w:t xml:space="preserve"> </w:t>
      </w:r>
      <w:r>
        <w:rPr>
          <w:rStyle w:val="VerbatimChar"/>
        </w:rPr>
        <w:t xml:space="preserve">share_link.revoke_others</w:t>
      </w:r>
      <w:r>
        <w:t xml:space="preserve"> </w:t>
      </w:r>
      <w:r>
        <w:t xml:space="preserve">permission.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Retention sweeps.</w:t>
      </w:r>
      <w:r>
        <w:t xml:space="preserve"> </w:t>
      </w:r>
      <w:r>
        <w:t xml:space="preserve">A daily cron command (</w:t>
      </w:r>
      <w:r>
        <w:rPr>
          <w:rStyle w:val="VerbatimChar"/>
        </w:rPr>
        <w:t xml:space="preserve">php symfony share-link:prune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php artisan share-link:prune</w:t>
      </w:r>
      <w:r>
        <w:t xml:space="preserve">) deletes tokens whose expiry or revocation date is older than the configured retention, and trims access-log rows older than the access-log retention. Defaults: 365 days for tokens, 180 days for access rows.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End-to-end audit trail.</w:t>
      </w:r>
      <w:r>
        <w:t xml:space="preserve"> </w:t>
      </w:r>
      <w:r>
        <w:t xml:space="preserve">Issue, every access attempt (allowed and denied), every revoke, and every retention sweep are mirrored into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 module=</w:t>
      </w:r>
      <w:r>
        <w:rPr>
          <w:rStyle w:val="VerbatimChar"/>
        </w:rPr>
        <w:t xml:space="preserve">share_link</w:t>
      </w:r>
      <w:r>
        <w:t xml:space="preserve">. Compliance reviews see share-link events alongside every other auditable 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Cross-surface parity.</w:t>
      </w:r>
      <w:r>
        <w:t xml:space="preserve"> </w:t>
      </w:r>
      <w:r>
        <w:t xml:space="preserve">Identical schema, token format, audit payload, and admin UX across AtoM (Symfony 1.x) and Heratio (Laravel). A token issued on one surface can be accessed on the other.</w:t>
      </w:r>
    </w:p>
    <w:bookmarkEnd w:id="21"/>
    <w:bookmarkStart w:id="22" w:name="compliance-and-standards-alignment"/>
    <w:p>
      <w:pPr>
        <w:pStyle w:val="Heading2"/>
      </w:pPr>
      <w:r>
        <w:t xml:space="preserve">Compliance and standards alignment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 /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plugin supports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POPIA / GDPR / 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is auditable; tokens expire automatically; revocation is immediate; recipient context (email + note) is stored for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NARSSA</w:t>
            </w:r>
            <w:r>
              <w:t xml:space="preserve"> </w:t>
            </w:r>
            <w:r>
              <w:t xml:space="preserve">records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lifecycle events (issue / access / revoke / prune) are dual-written to the central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GCIS RFB 001 2026/2027</w:t>
            </w:r>
            <w:r>
              <w:t xml:space="preserve"> </w:t>
            </w:r>
            <w:r>
              <w:t xml:space="preserve">clauses 4.1.1.9 (audit trail management) and 4.4 (security &amp;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 ACL (5 distinct permissions) + per-token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27001</w:t>
            </w:r>
            <w:r>
              <w:t xml:space="preserve"> </w:t>
            </w: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Bearer-token credentials are time-limited, single-record-scoped, individually revokable, and fully 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records require explicit permission + matching clearance at issuance time; classification level is captured at issuance so subsequent re-classification doesn’t quietly broaden the link’s scope</w:t>
            </w:r>
          </w:p>
        </w:tc>
      </w:tr>
    </w:tbl>
    <w:bookmarkEnd w:id="22"/>
    <w:bookmarkStart w:id="23" w:name="how-it-scales"/>
    <w:p>
      <w:pPr>
        <w:pStyle w:val="Heading2"/>
      </w:pPr>
      <w:r>
        <w:t xml:space="preserve">How it scales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 storage</w:t>
      </w:r>
      <w:r>
        <w:t xml:space="preserve"> </w:t>
      </w:r>
      <w:r>
        <w:t xml:space="preserve">~250 bytes per token row. 10,000 active + retained tokens ≈ 2.5 MB.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Access-log storage</w:t>
      </w:r>
      <w:r>
        <w:t xml:space="preserve"> </w:t>
      </w:r>
      <w:r>
        <w:t xml:space="preserve">~400 bytes per access row. A heavily-shared archive at 1,000 hits/day with 180-day retention ≈ 70 MB.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path</w:t>
      </w:r>
      <w:r>
        <w:t xml:space="preserve"> </w:t>
      </w:r>
      <w:r>
        <w:t xml:space="preserve">is a single indexed lookup on</w:t>
      </w:r>
      <w:r>
        <w:t xml:space="preserve"> </w:t>
      </w:r>
      <w:r>
        <w:rPr>
          <w:rStyle w:val="VerbatimChar"/>
        </w:rPr>
        <w:t xml:space="preserve">information_object_share_token.token</w:t>
      </w:r>
      <w:r>
        <w:t xml:space="preserve"> </w:t>
      </w:r>
      <w:r>
        <w:t xml:space="preserve">(UNIQUE) plus a SELECT for the i18n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background daemons</w:t>
      </w:r>
      <w:r>
        <w:t xml:space="preserve"> </w:t>
      </w:r>
      <w:r>
        <w:t xml:space="preserve">required. The retention sweep is a daily cron; it’s a no-op when no rows qualify.</w:t>
      </w:r>
    </w:p>
    <w:bookmarkEnd w:id="23"/>
    <w:bookmarkStart w:id="24" w:name="permission-matrix-default"/>
    <w:p>
      <w:pPr>
        <w:pStyle w:val="Heading2"/>
      </w:pPr>
      <w:r>
        <w:t xml:space="preserve">Permission matrix (default)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38"/>
        <w:gridCol w:w="971"/>
        <w:gridCol w:w="1046"/>
        <w:gridCol w:w="1419"/>
        <w:gridCol w:w="1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Editor (101)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Contributor (102)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Translator (103)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share_link.create_classified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share_link.create_unlimited_expiry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share_link.list_all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share_link.revoke_others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bypass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Administrators bypass all checks in code. Default seeds are idempotent and additive — re-running them never duplicates or overwrites existing grants.</w:t>
      </w:r>
    </w:p>
    <w:bookmarkEnd w:id="24"/>
    <w:bookmarkStart w:id="25" w:name="whats-audited"/>
    <w:p>
      <w:pPr>
        <w:pStyle w:val="Heading2"/>
      </w:pPr>
      <w:r>
        <w:t xml:space="preserve">What’s audited</w:t>
      </w:r>
    </w:p>
    <w:p>
      <w:pPr>
        <w:pStyle w:val="FirstParagraph"/>
      </w:pPr>
      <w:r>
        <w:t xml:space="preserve">Every operation writes a 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(module =</w:t>
      </w:r>
      <w:r>
        <w:t xml:space="preserve"> </w:t>
      </w:r>
      <w:r>
        <w:rPr>
          <w:rStyle w:val="VerbatimChar"/>
        </w:rPr>
        <w:t xml:space="preserve">share_link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84"/>
        <w:gridCol w:w="3168"/>
        <w:gridCol w:w="1083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captured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token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token_id, expires_at, recipient_email, recipient_note, max_access, classification_level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share_link_accessed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recipient hit (allowed or denied)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/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action_name: view / denied_expired / denied_revoked / denied_quota / denied_unknown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token_id, was_owner flag, optional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share_link_prune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sweep with deletions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tokens_deleted, access_rows_deleted, retention values used</w:t>
            </w:r>
          </w:p>
        </w:tc>
      </w:tr>
    </w:tbl>
    <w:bookmarkEnd w:id="25"/>
    <w:bookmarkStart w:id="26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AtoM</w:t>
      </w:r>
      <w:r>
        <w:t xml:space="preserve"> </w:t>
      </w:r>
      <w:r>
        <w:t xml:space="preserve">2.10 (Symfony 1.x), MySQL 8, PHP 8.1+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Heratio</w:t>
      </w:r>
      <w:r>
        <w:t xml:space="preserve"> </w:t>
      </w:r>
      <w:r>
        <w:t xml:space="preserve">(Laravel 10+), MySQL 8, PHP 8.2+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Required plugin: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Recommended plugins (graceful fall-back if missing):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ahgAuditTrailPlugin</w:t>
      </w:r>
      <w:r>
        <w:t xml:space="preserve"> </w:t>
      </w:r>
      <w:r>
        <w:t xml:space="preserve">— for the central audit feed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ahgSecurityClearancePlugin</w:t>
      </w:r>
      <w:r>
        <w:t xml:space="preserve"> </w:t>
      </w:r>
      <w:r>
        <w:t xml:space="preserve">— for classified-record guards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ahgSettingsPlugin</w:t>
      </w:r>
      <w:r>
        <w:t xml:space="preserve"> </w:t>
      </w:r>
      <w:r>
        <w:t xml:space="preserve">— for the integrated settings UI; if absent the plugin still reads defaults and runs</w:t>
      </w:r>
    </w:p>
    <w:bookmarkEnd w:id="26"/>
    <w:bookmarkStart w:id="27" w:name="out-of-scope-current-release"/>
    <w:p>
      <w:pPr>
        <w:pStyle w:val="Heading2"/>
      </w:pPr>
      <w:r>
        <w:t xml:space="preserve">Out of scope (current release)</w:t>
      </w:r>
    </w:p>
    <w:p>
      <w:pPr>
        <w:numPr>
          <w:ilvl w:val="0"/>
          <w:numId w:val="1005"/>
        </w:numPr>
        <w:pStyle w:val="Compact"/>
      </w:pPr>
      <w:r>
        <w:t xml:space="preserve">Bulk issuance (one-by-one only). A</w:t>
      </w:r>
      <w:r>
        <w:t xml:space="preserve"> </w:t>
      </w:r>
      <w:r>
        <w:t xml:space="preserve">“</w:t>
      </w:r>
      <w:r>
        <w:t xml:space="preserve">Generate links for everything in this folder</w:t>
      </w:r>
      <w:r>
        <w:t xml:space="preserve">”</w:t>
      </w:r>
      <w:r>
        <w:t xml:space="preserve"> </w:t>
      </w:r>
      <w:r>
        <w:t xml:space="preserve">flow is a future enhancement.</w:t>
      </w:r>
    </w:p>
    <w:p>
      <w:pPr>
        <w:numPr>
          <w:ilvl w:val="0"/>
          <w:numId w:val="1005"/>
        </w:numPr>
        <w:pStyle w:val="Compact"/>
      </w:pPr>
      <w:r>
        <w:t xml:space="preserve">Recipient self-service download for digital objects beyond what the issuer can download themselves at issuance time. The</w:t>
      </w:r>
      <w:r>
        <w:t xml:space="preserve"> </w:t>
      </w:r>
      <w:r>
        <w:rPr>
          <w:rStyle w:val="VerbatimChar"/>
        </w:rPr>
        <w:t xml:space="preserve">issuer_download_at_issuance</w:t>
      </w:r>
      <w:r>
        <w:t xml:space="preserve"> </w:t>
      </w:r>
      <w:r>
        <w:t xml:space="preserve">flag is captured for use in a forthcoming digital-object download flow.</w:t>
      </w:r>
    </w:p>
    <w:p>
      <w:pPr>
        <w:numPr>
          <w:ilvl w:val="0"/>
          <w:numId w:val="1005"/>
        </w:numPr>
        <w:pStyle w:val="Compact"/>
      </w:pPr>
      <w:r>
        <w:t xml:space="preserve">HMAC secret rotation runbook. The secret is auto-generated on first use; rotation invalidates every existing token and is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exposed in the admin UI to prevent accidental link-mass-invalidation.</w:t>
      </w:r>
    </w:p>
    <w:bookmarkEnd w:id="27"/>
    <w:bookmarkStart w:id="28" w:name="whats-new-in-v0.2.0-may-2026"/>
    <w:p>
      <w:pPr>
        <w:pStyle w:val="Heading2"/>
      </w:pPr>
      <w:r>
        <w:t xml:space="preserve">What’s New in v0.2.0 (May 2026)</w:t>
      </w:r>
    </w:p>
    <w:p>
      <w:pPr>
        <w:pStyle w:val="FirstParagraph"/>
      </w:pPr>
      <w:r>
        <w:t xml:space="preserve">The v0.1.0 release surfaced the issue form as a</w:t>
      </w:r>
      <w:r>
        <w:t xml:space="preserve"> </w:t>
      </w:r>
      <w:r>
        <w:rPr>
          <w:bCs/>
          <w:b/>
        </w:rPr>
        <w:t xml:space="preserve">Bootstrap modal</w:t>
      </w:r>
      <w:r>
        <w:t xml:space="preserve"> </w:t>
      </w:r>
      <w:r>
        <w:t xml:space="preserve">injected onto every information_object show page (via</w:t>
      </w:r>
      <w:r>
        <w:t xml:space="preserve"> </w:t>
      </w:r>
      <w:r>
        <w:rPr>
          <w:rStyle w:val="VerbatimChar"/>
        </w:rPr>
        <w:t xml:space="preserve">ViewLinkInjector</w:t>
      </w:r>
      <w:r>
        <w:t xml:space="preserve">). That UI is fully retained — it remains the default path for in-context</w:t>
      </w:r>
      <w:r>
        <w:t xml:space="preserve"> </w:t>
      </w:r>
      <w:r>
        <w:t xml:space="preserve">“</w:t>
      </w:r>
      <w:r>
        <w:t xml:space="preserve">share this record</w:t>
      </w:r>
      <w:r>
        <w:t xml:space="preserve">”</w:t>
      </w:r>
      <w:r>
        <w:t xml:space="preserve"> </w:t>
      </w:r>
      <w:r>
        <w:t xml:space="preserve">actions.</w:t>
      </w:r>
    </w:p>
    <w:p>
      <w:pPr>
        <w:pStyle w:val="BodyText"/>
      </w:pPr>
      <w:r>
        <w:t xml:space="preserve">v0.2.0 adds a</w:t>
      </w:r>
      <w:r>
        <w:t xml:space="preserve"> </w:t>
      </w:r>
      <w:r>
        <w:rPr>
          <w:bCs/>
          <w:b/>
        </w:rPr>
        <w:t xml:space="preserve">complementary full-page issue form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/shareLink/issue?information_object_id=N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(in-context)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Curator is already looking at the record; one-click in-page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Full-page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Bookmarkable URL for a recurring sharing workflow; (b) accessibility — screen readers handle full pages better than modals; (c) demo/walkthrough flows where each step gets its own page</w:t>
            </w:r>
          </w:p>
        </w:tc>
      </w:tr>
    </w:tbl>
    <w:p>
      <w:pPr>
        <w:pStyle w:val="BodyText"/>
      </w:pPr>
      <w:r>
        <w:t xml:space="preserve">The action</w:t>
      </w:r>
      <w:r>
        <w:t xml:space="preserve"> </w:t>
      </w:r>
      <w:r>
        <w:rPr>
          <w:rStyle w:val="VerbatimChar"/>
        </w:rPr>
        <w:t xml:space="preserve">executeIssue</w:t>
      </w:r>
      <w:r>
        <w:t xml:space="preserve"> </w:t>
      </w:r>
      <w:r>
        <w:t xml:space="preserve">now</w:t>
      </w:r>
      <w:r>
        <w:t xml:space="preserve"> </w:t>
      </w:r>
      <w:r>
        <w:rPr>
          <w:bCs/>
          <w:b/>
        </w:rPr>
        <w:t xml:space="preserve">content-negotiates</w:t>
      </w:r>
      <w:r>
        <w:t xml:space="preserve"> </w:t>
      </w:r>
      <w:r>
        <w:t xml:space="preserve">the response: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Accept: application/json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X-Requested-With: XMLHttpRequest</w:t>
      </w:r>
      <w:r>
        <w:t xml:space="preserve"> </w:t>
      </w:r>
      <w:r>
        <w:t xml:space="preserve">→ JSON (existing AJAX modal path, unchanged)</w:t>
      </w:r>
    </w:p>
    <w:p>
      <w:pPr>
        <w:numPr>
          <w:ilvl w:val="0"/>
          <w:numId w:val="1006"/>
        </w:numPr>
        <w:pStyle w:val="Compact"/>
      </w:pPr>
      <w:r>
        <w:t xml:space="preserve">Anything else → HTML form (</w:t>
      </w:r>
      <w:r>
        <w:rPr>
          <w:rStyle w:val="VerbatimChar"/>
        </w:rPr>
        <w:t xml:space="preserve">newSuccess.php</w:t>
      </w:r>
      <w:r>
        <w:t xml:space="preserve">) on GET; HTML success page (</w:t>
      </w:r>
      <w:r>
        <w:rPr>
          <w:rStyle w:val="VerbatimChar"/>
        </w:rPr>
        <w:t xml:space="preserve">issueSuccess.php</w:t>
      </w:r>
      <w:r>
        <w:t xml:space="preserve">) with copy-to-clipboard on successful POST</w:t>
      </w:r>
    </w:p>
    <w:p>
      <w:pPr>
        <w:pStyle w:val="FirstParagraph"/>
      </w:pPr>
      <w:r>
        <w:t xml:space="preserve">Validation errors take the form back through</w:t>
      </w:r>
      <w:r>
        <w:t xml:space="preserve"> </w:t>
      </w:r>
      <w:r>
        <w:rPr>
          <w:rStyle w:val="VerbatimChar"/>
        </w:rPr>
        <w:t xml:space="preserve">renderIssueForm()</w:t>
      </w:r>
      <w:r>
        <w:t xml:space="preserve"> </w:t>
      </w:r>
      <w:r>
        <w:t xml:space="preserve">with a flash message instead of returning a 422 JSON body. The existing JSON API for external clients is untouched.</w:t>
      </w:r>
    </w:p>
    <w:bookmarkEnd w:id="28"/>
    <w:bookmarkStart w:id="29" w:name="licence"/>
    <w:p>
      <w:pPr>
        <w:pStyle w:val="Heading2"/>
      </w:pPr>
      <w:r>
        <w:t xml:space="preserve">Licence</w:t>
      </w:r>
    </w:p>
    <w:p>
      <w:pPr>
        <w:pStyle w:val="FirstParagraph"/>
      </w:pPr>
      <w:r>
        <w:t xml:space="preserve">AGPL-3.0-or-later. © 2026 The Archive and Heritage Group (Pty) Ltd.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Time-Limited Share Link — Feature Overview v0.2.0</dc:title>
  <dc:creator>The Archive and Heritage Group (Pty) Ltd</dc:creator>
  <cp:keywords/>
  <dcterms:created xsi:type="dcterms:W3CDTF">2026-05-17T06:48:32Z</dcterms:created>
  <dcterms:modified xsi:type="dcterms:W3CDTF">2026-05-17T06:48:32Z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