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Xc24041701d5f430f223a4332dc398641679520b"/>
    <w:p>
      <w:pPr>
        <w:pStyle w:val="Heading1"/>
      </w:pPr>
      <w:r>
        <w:t xml:space="preserve">ahgArchaeologyPlugin - Technical Documentation</w:t>
      </w:r>
    </w:p>
    <w:bookmarkStart w:id="21" w:name="overview"/>
    <w:p>
      <w:pPr>
        <w:pStyle w:val="Heading2"/>
      </w:pPr>
      <w:r>
        <w:t xml:space="preserve">Overview</w:t>
      </w:r>
    </w:p>
    <w:p>
      <w:pPr>
        <w:pStyle w:val="FirstParagraph"/>
      </w:pPr>
      <w:r>
        <w:t xml:space="preserve">Records archaeological excavation: sites, stratigraphic contexts, the relationships between them, and finds. Computes the Harris Matrix from the recorded relationships, checks the record for contradictions, and exchanges data with the formats other stratigraphy software uses.</w:t>
      </w:r>
    </w:p>
    <w:p>
      <w:pPr>
        <w:pStyle w:val="BodyText"/>
      </w:pPr>
      <w:r>
        <w:t xml:space="preserve">The design decision the plugin exists to serve:</w:t>
      </w:r>
      <w:r>
        <w:t xml:space="preserve"> </w:t>
      </w:r>
      <w:r>
        <w:rPr>
          <w:bCs/>
          <w:b/>
        </w:rPr>
        <w:t xml:space="preserve">stratigraphy is a directed acyclic graph, not a tree</w:t>
      </w:r>
      <w:r>
        <w:t xml:space="preserve">. AtoM's nested set gives each record exactly one parent, whereas a context can lie beneath several at once, and two contexts in different trenches can be the same feature. Relationships therefore live in their own table while every context remains a full</w:t>
      </w:r>
      <w:r>
        <w:t xml:space="preserve"> </w:t>
      </w:r>
      <w:r>
        <w:rPr>
          <w:rStyle w:val="VerbatimChar"/>
        </w:rPr>
        <w:t xml:space="preserve">information_object</w:t>
      </w:r>
      <w:r>
        <w:t xml:space="preserve">, with the ACL, search indexing, digital objects and export that implies. Nothing is duplicated, and the sequence is never flattened into the hierarchy.</w:t>
      </w:r>
    </w:p>
    <w:bookmarkStart w:id="20" w:name="features"/>
    <w:p>
      <w:pPr>
        <w:pStyle w:val="Heading3"/>
      </w:pPr>
      <w:r>
        <w:t xml:space="preserve">Features</w:t>
      </w:r>
    </w:p>
    <w:p>
      <w:pPr>
        <w:numPr>
          <w:ilvl w:val="0"/>
          <w:numId w:val="1001"/>
        </w:numPr>
        <w:pStyle w:val="Compact"/>
      </w:pPr>
      <w:r>
        <w:t xml:space="preserve">Sites with coordinates, elevation, positional accuracy, period, site type, permit and excavator</w:t>
      </w:r>
    </w:p>
    <w:p>
      <w:pPr>
        <w:numPr>
          <w:ilvl w:val="0"/>
          <w:numId w:val="1001"/>
        </w:numPr>
        <w:pStyle w:val="Compact"/>
      </w:pPr>
      <w:r>
        <w:t xml:space="preserve">Contexts with type, phase, top and bottom elevations, excavation references and dates</w:t>
      </w:r>
    </w:p>
    <w:p>
      <w:pPr>
        <w:numPr>
          <w:ilvl w:val="0"/>
          <w:numId w:val="1001"/>
        </w:numPr>
        <w:pStyle w:val="Compact"/>
      </w:pPr>
      <w:r>
        <w:t xml:space="preserve">Nine relationship types, stored bidirectionally with automatic reciprocals</w:t>
      </w:r>
    </w:p>
    <w:p>
      <w:pPr>
        <w:numPr>
          <w:ilvl w:val="0"/>
          <w:numId w:val="1001"/>
        </w:numPr>
        <w:pStyle w:val="Compact"/>
      </w:pPr>
      <w:r>
        <w:t xml:space="preserve">Harris Matrix with correlation merging, longest-path layering and transitive reduction</w:t>
      </w:r>
    </w:p>
    <w:p>
      <w:pPr>
        <w:numPr>
          <w:ilvl w:val="0"/>
          <w:numId w:val="1001"/>
        </w:numPr>
        <w:pStyle w:val="Compact"/>
      </w:pPr>
      <w:r>
        <w:t xml:space="preserve">Finds linked to their context</w:t>
      </w:r>
    </w:p>
    <w:p>
      <w:pPr>
        <w:numPr>
          <w:ilvl w:val="0"/>
          <w:numId w:val="1001"/>
        </w:numPr>
        <w:pStyle w:val="Compact"/>
      </w:pPr>
      <w:r>
        <w:t xml:space="preserve">Dig plan with scaled sections and a tile-free locator</w:t>
      </w:r>
    </w:p>
    <w:p>
      <w:pPr>
        <w:numPr>
          <w:ilvl w:val="0"/>
          <w:numId w:val="1001"/>
        </w:numPr>
        <w:pStyle w:val="Compact"/>
      </w:pPr>
      <w:r>
        <w:t xml:space="preserve">PDF context sheets</w:t>
      </w:r>
    </w:p>
    <w:p>
      <w:pPr>
        <w:numPr>
          <w:ilvl w:val="0"/>
          <w:numId w:val="1001"/>
        </w:numPr>
        <w:pStyle w:val="Compact"/>
      </w:pPr>
      <w:r>
        <w:t xml:space="preserve">Six consistency checks</w:t>
      </w:r>
    </w:p>
    <w:p>
      <w:pPr>
        <w:numPr>
          <w:ilvl w:val="0"/>
          <w:numId w:val="1001"/>
        </w:numPr>
        <w:pStyle w:val="Compact"/>
      </w:pPr>
      <w:r>
        <w:t xml:space="preserve">Import and export in interchange formats</w:t>
      </w:r>
    </w:p>
    <w:bookmarkEnd w:id="20"/>
    <w:bookmarkEnd w:id="21"/>
    <w:bookmarkStart w:id="22" w:name="database-tables"/>
    <w:p>
      <w:pPr>
        <w:pStyle w:val="Heading2"/>
      </w:pPr>
      <w:r>
        <w:t xml:space="preserve">Database 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archaeology_site</w:t>
            </w:r>
          </w:p>
        </w:tc>
        <w:tc>
          <w:tcPr/>
          <w:p>
            <w:pPr>
              <w:pStyle w:val="Compact"/>
              <w:jc w:val="left"/>
            </w:pPr>
            <w:r>
              <w:t xml:space="preserve">One row per site. Carries</w:t>
            </w:r>
            <w:r>
              <w:t xml:space="preserve"> </w:t>
            </w:r>
            <w:r>
              <w:rPr>
                <w:rStyle w:val="VerbatimChar"/>
              </w:rPr>
              <w:t xml:space="preserve">information_object_id</w:t>
            </w:r>
            <w:r>
              <w:t xml:space="preserve">, coordinates,</w:t>
            </w:r>
            <w:r>
              <w:t xml:space="preserve"> </w:t>
            </w:r>
            <w:r>
              <w:rPr>
                <w:rStyle w:val="VerbatimChar"/>
              </w:rPr>
              <w:t xml:space="preserve">spatial_accuracy_m</w:t>
            </w:r>
            <w:r>
              <w:t xml:space="preserve">,</w:t>
            </w:r>
            <w:r>
              <w:t xml:space="preserve"> </w:t>
            </w:r>
            <w:r>
              <w:rPr>
                <w:rStyle w:val="VerbatimChar"/>
              </w:rPr>
              <w:t xml:space="preserve">site_type_id</w:t>
            </w:r>
            <w:r>
              <w:t xml:space="preserve">,</w:t>
            </w:r>
            <w:r>
              <w:t xml:space="preserve"> </w:t>
            </w:r>
            <w:r>
              <w:rPr>
                <w:rStyle w:val="VerbatimChar"/>
              </w:rPr>
              <w:t xml:space="preserve">period_id</w:t>
            </w:r>
            <w:r>
              <w:t xml:space="preserve">, excavation metadata.</w:t>
            </w:r>
          </w:p>
        </w:tc>
      </w:tr>
      <w:tr>
        <w:tc>
          <w:tcPr/>
          <w:p>
            <w:pPr>
              <w:pStyle w:val="Compact"/>
              <w:jc w:val="left"/>
            </w:pPr>
            <w:r>
              <w:rPr>
                <w:rStyle w:val="VerbatimChar"/>
              </w:rPr>
              <w:t xml:space="preserve">archaeology_context</w:t>
            </w:r>
          </w:p>
        </w:tc>
        <w:tc>
          <w:tcPr/>
          <w:p>
            <w:pPr>
              <w:pStyle w:val="Compact"/>
              <w:jc w:val="left"/>
            </w:pPr>
            <w:r>
              <w:t xml:space="preserve">One row per context. Carries</w:t>
            </w:r>
            <w:r>
              <w:t xml:space="preserve"> </w:t>
            </w:r>
            <w:r>
              <w:rPr>
                <w:rStyle w:val="VerbatimChar"/>
              </w:rPr>
              <w:t xml:space="preserve">information_object_id</w:t>
            </w:r>
            <w:r>
              <w:t xml:space="preserve">,</w:t>
            </w:r>
            <w:r>
              <w:t xml:space="preserve"> </w:t>
            </w:r>
            <w:r>
              <w:rPr>
                <w:rStyle w:val="VerbatimChar"/>
              </w:rPr>
              <w:t xml:space="preserve">site_id</w:t>
            </w:r>
            <w:r>
              <w:t xml:space="preserve">,</w:t>
            </w:r>
            <w:r>
              <w:t xml:space="preserve"> </w:t>
            </w:r>
            <w:r>
              <w:rPr>
                <w:rStyle w:val="VerbatimChar"/>
              </w:rPr>
              <w:t xml:space="preserve">context_number</w:t>
            </w:r>
            <w:r>
              <w:t xml:space="preserve">,</w:t>
            </w:r>
            <w:r>
              <w:t xml:space="preserve"> </w:t>
            </w:r>
            <w:r>
              <w:rPr>
                <w:rStyle w:val="VerbatimChar"/>
              </w:rPr>
              <w:t xml:space="preserve">context_type_id</w:t>
            </w:r>
            <w:r>
              <w:t xml:space="preserve">,</w:t>
            </w:r>
            <w:r>
              <w:t xml:space="preserve"> </w:t>
            </w:r>
            <w:r>
              <w:rPr>
                <w:rStyle w:val="VerbatimChar"/>
              </w:rPr>
              <w:t xml:space="preserve">phase_id</w:t>
            </w:r>
            <w:r>
              <w:t xml:space="preserve">, elevations.</w:t>
            </w:r>
          </w:p>
        </w:tc>
      </w:tr>
      <w:tr>
        <w:tc>
          <w:tcPr/>
          <w:p>
            <w:pPr>
              <w:pStyle w:val="Compact"/>
              <w:jc w:val="left"/>
            </w:pPr>
            <w:r>
              <w:rPr>
                <w:rStyle w:val="VerbatimChar"/>
              </w:rPr>
              <w:t xml:space="preserve">archaeology_context_relationship</w:t>
            </w:r>
          </w:p>
        </w:tc>
        <w:tc>
          <w:tcPr/>
          <w:p>
            <w:pPr>
              <w:pStyle w:val="Compact"/>
              <w:jc w:val="left"/>
            </w:pPr>
            <w:r>
              <w:t xml:space="preserve">Stratigraphic edges.</w:t>
            </w:r>
            <w:r>
              <w:t xml:space="preserve"> </w:t>
            </w:r>
            <w:r>
              <w:rPr>
                <w:rStyle w:val="VerbatimChar"/>
              </w:rPr>
              <w:t xml:space="preserve">UNIQUE KEY uk_arch_ctxrel (context_id, related_context_id, relationship_type)</w:t>
            </w:r>
            <w:r>
              <w:t xml:space="preserve"> </w:t>
            </w:r>
            <w:r>
              <w:t xml:space="preserve">makes writes idempotent.</w:t>
            </w:r>
          </w:p>
        </w:tc>
      </w:tr>
      <w:tr>
        <w:tc>
          <w:tcPr/>
          <w:p>
            <w:pPr>
              <w:pStyle w:val="Compact"/>
              <w:jc w:val="left"/>
            </w:pPr>
            <w:r>
              <w:rPr>
                <w:rStyle w:val="VerbatimChar"/>
              </w:rPr>
              <w:t xml:space="preserve">archaeology_object</w:t>
            </w:r>
          </w:p>
        </w:tc>
        <w:tc>
          <w:tcPr/>
          <w:p>
            <w:pPr>
              <w:pStyle w:val="Compact"/>
              <w:jc w:val="left"/>
            </w:pPr>
            <w:r>
              <w:t xml:space="preserve">Finds. Carries</w:t>
            </w:r>
            <w:r>
              <w:t xml:space="preserve"> </w:t>
            </w:r>
            <w:r>
              <w:rPr>
                <w:rStyle w:val="VerbatimChar"/>
              </w:rPr>
              <w:t xml:space="preserve">context_id</w:t>
            </w:r>
            <w:r>
              <w:t xml:space="preserve">,</w:t>
            </w:r>
            <w:r>
              <w:t xml:space="preserve"> </w:t>
            </w:r>
            <w:r>
              <w:rPr>
                <w:rStyle w:val="VerbatimChar"/>
              </w:rPr>
              <w:t xml:space="preserve">site_id</w:t>
            </w:r>
            <w:r>
              <w:t xml:space="preserve">, accession number, dimensions, recovery method, storage location.</w:t>
            </w:r>
          </w:p>
        </w:tc>
      </w:tr>
    </w:tbl>
    <w:p>
      <w:pPr>
        <w:pStyle w:val="BodyText"/>
      </w:pPr>
      <w:r>
        <w:t xml:space="preserve">Both entity tables reference an</w:t>
      </w:r>
      <w:r>
        <w:t xml:space="preserve"> </w:t>
      </w:r>
      <w:r>
        <w:rPr>
          <w:rStyle w:val="VerbatimChar"/>
        </w:rPr>
        <w:t xml:space="preserve">information_object</w:t>
      </w:r>
      <w:r>
        <w:t xml:space="preserve">, created through the framework's write service. Note that the write services do not populate</w:t>
      </w:r>
      <w:r>
        <w:t xml:space="preserve"> </w:t>
      </w:r>
      <w:r>
        <w:rPr>
          <w:rStyle w:val="VerbatimChar"/>
        </w:rPr>
        <w:t xml:space="preserve">lft</w:t>
      </w:r>
      <w:r>
        <w:t xml:space="preserve">/</w:t>
      </w:r>
      <w:r>
        <w:rPr>
          <w:rStyle w:val="VerbatimChar"/>
        </w:rPr>
        <w:t xml:space="preserve">rgt</w:t>
      </w:r>
      <w:r>
        <w:t xml:space="preserve">, so</w:t>
      </w:r>
      <w:r>
        <w:t xml:space="preserve"> </w:t>
      </w:r>
      <w:r>
        <w:rPr>
          <w:rStyle w:val="VerbatimChar"/>
        </w:rPr>
        <w:t xml:space="preserve">placeInNestedSet()</w:t>
      </w:r>
      <w:r>
        <w:t xml:space="preserve"> </w:t>
      </w:r>
      <w:r>
        <w:t xml:space="preserve">puts new descriptions into the tree; a record that exists but is not in the tree is invisible to browse.</w:t>
      </w:r>
    </w:p>
    <w:bookmarkEnd w:id="22"/>
    <w:bookmarkStart w:id="23" w:name="relationship-model"/>
    <w:p>
      <w:pPr>
        <w:pStyle w:val="Heading2"/>
      </w:pPr>
      <w:r>
        <w:t xml:space="preserve">Relationship model</w:t>
      </w:r>
    </w:p>
    <w:p>
      <w:pPr>
        <w:pStyle w:val="FirstParagraph"/>
      </w:pPr>
      <w:r>
        <w:rPr>
          <w:rStyle w:val="VerbatimChar"/>
        </w:rPr>
        <w:t xml:space="preserve">ArchaeologyService::REL_TYPES</w:t>
      </w:r>
      <w:r>
        <w:t xml:space="preserve"> </w:t>
      </w:r>
      <w:r>
        <w:t xml:space="preserve">defines nine types, each with a reciprocal and a direction: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Reciprocal</w:t>
            </w:r>
          </w:p>
        </w:tc>
        <w:tc>
          <w:tcPr/>
          <w:p>
            <w:pPr>
              <w:pStyle w:val="Compact"/>
              <w:jc w:val="left"/>
            </w:pPr>
            <w:r>
              <w:t xml:space="preserve">Direction</w:t>
            </w:r>
          </w:p>
        </w:tc>
      </w:tr>
      <w:tr>
        <w:tc>
          <w:tcPr/>
          <w:p>
            <w:pPr>
              <w:pStyle w:val="Compact"/>
              <w:jc w:val="left"/>
            </w:pPr>
            <w:r>
              <w:rPr>
                <w:rStyle w:val="VerbatimChar"/>
              </w:rPr>
              <w:t xml:space="preserve">above</w:t>
            </w:r>
          </w:p>
        </w:tc>
        <w:tc>
          <w:tcPr/>
          <w:p>
            <w:pPr>
              <w:pStyle w:val="Compact"/>
              <w:jc w:val="left"/>
            </w:pPr>
            <w:r>
              <w:rPr>
                <w:rStyle w:val="VerbatimChar"/>
              </w:rPr>
              <w:t xml:space="preserve">below</w:t>
            </w:r>
          </w:p>
        </w:tc>
        <w:tc>
          <w:tcPr/>
          <w:p>
            <w:pPr>
              <w:pStyle w:val="Compact"/>
              <w:jc w:val="left"/>
            </w:pPr>
            <w:r>
              <w:t xml:space="preserve">later</w:t>
            </w:r>
          </w:p>
        </w:tc>
      </w:tr>
      <w:tr>
        <w:tc>
          <w:tcPr/>
          <w:p>
            <w:pPr>
              <w:pStyle w:val="Compact"/>
              <w:jc w:val="left"/>
            </w:pPr>
            <w:r>
              <w:rPr>
                <w:rStyle w:val="VerbatimChar"/>
              </w:rPr>
              <w:t xml:space="preserve">cuts</w:t>
            </w:r>
          </w:p>
        </w:tc>
        <w:tc>
          <w:tcPr/>
          <w:p>
            <w:pPr>
              <w:pStyle w:val="Compact"/>
              <w:jc w:val="left"/>
            </w:pPr>
            <w:r>
              <w:rPr>
                <w:rStyle w:val="VerbatimChar"/>
              </w:rPr>
              <w:t xml:space="preserve">cut_by</w:t>
            </w:r>
          </w:p>
        </w:tc>
        <w:tc>
          <w:tcPr/>
          <w:p>
            <w:pPr>
              <w:pStyle w:val="Compact"/>
              <w:jc w:val="left"/>
            </w:pPr>
            <w:r>
              <w:t xml:space="preserve">later</w:t>
            </w:r>
          </w:p>
        </w:tc>
      </w:tr>
      <w:tr>
        <w:tc>
          <w:tcPr/>
          <w:p>
            <w:pPr>
              <w:pStyle w:val="Compact"/>
              <w:jc w:val="left"/>
            </w:pPr>
            <w:r>
              <w:rPr>
                <w:rStyle w:val="VerbatimChar"/>
              </w:rPr>
              <w:t xml:space="preserve">fills</w:t>
            </w:r>
          </w:p>
        </w:tc>
        <w:tc>
          <w:tcPr/>
          <w:p>
            <w:pPr>
              <w:pStyle w:val="Compact"/>
              <w:jc w:val="left"/>
            </w:pPr>
            <w:r>
              <w:rPr>
                <w:rStyle w:val="VerbatimChar"/>
              </w:rPr>
              <w:t xml:space="preserve">filled_by</w:t>
            </w:r>
          </w:p>
        </w:tc>
        <w:tc>
          <w:tcPr/>
          <w:p>
            <w:pPr>
              <w:pStyle w:val="Compact"/>
              <w:jc w:val="left"/>
            </w:pPr>
            <w:r>
              <w:t xml:space="preserve">later</w:t>
            </w:r>
          </w:p>
        </w:tc>
      </w:tr>
      <w:tr>
        <w:tc>
          <w:tcPr/>
          <w:p>
            <w:pPr>
              <w:pStyle w:val="Compact"/>
              <w:jc w:val="left"/>
            </w:pPr>
            <w:r>
              <w:rPr>
                <w:rStyle w:val="VerbatimChar"/>
              </w:rPr>
              <w:t xml:space="preserve">same_as</w:t>
            </w:r>
          </w:p>
        </w:tc>
        <w:tc>
          <w:tcPr/>
          <w:p>
            <w:pPr>
              <w:pStyle w:val="Compact"/>
              <w:jc w:val="left"/>
            </w:pPr>
            <w:r>
              <w:rPr>
                <w:rStyle w:val="VerbatimChar"/>
              </w:rPr>
              <w:t xml:space="preserve">same_as</w:t>
            </w:r>
          </w:p>
        </w:tc>
        <w:tc>
          <w:tcPr/>
          <w:p>
            <w:pPr>
              <w:pStyle w:val="Compact"/>
              <w:jc w:val="left"/>
            </w:pPr>
            <w:r>
              <w:t xml:space="preserve">none</w:t>
            </w:r>
          </w:p>
        </w:tc>
      </w:tr>
      <w:tr>
        <w:tc>
          <w:tcPr/>
          <w:p>
            <w:pPr>
              <w:pStyle w:val="Compact"/>
              <w:jc w:val="left"/>
            </w:pPr>
            <w:r>
              <w:rPr>
                <w:rStyle w:val="VerbatimChar"/>
              </w:rPr>
              <w:t xml:space="preserve">bonds_with</w:t>
            </w:r>
          </w:p>
        </w:tc>
        <w:tc>
          <w:tcPr/>
          <w:p>
            <w:pPr>
              <w:pStyle w:val="Compact"/>
              <w:jc w:val="left"/>
            </w:pPr>
            <w:r>
              <w:rPr>
                <w:rStyle w:val="VerbatimChar"/>
              </w:rPr>
              <w:t xml:space="preserve">bonds_with</w:t>
            </w:r>
          </w:p>
        </w:tc>
        <w:tc>
          <w:tcPr/>
          <w:p>
            <w:pPr>
              <w:pStyle w:val="Compact"/>
              <w:jc w:val="left"/>
            </w:pPr>
            <w:r>
              <w:t xml:space="preserve">none</w:t>
            </w:r>
          </w:p>
        </w:tc>
      </w:tr>
      <w:tr>
        <w:tc>
          <w:tcPr/>
          <w:p>
            <w:pPr>
              <w:pStyle w:val="Compact"/>
              <w:jc w:val="left"/>
            </w:pPr>
            <w:r>
              <w:rPr>
                <w:rStyle w:val="VerbatimChar"/>
              </w:rPr>
              <w:t xml:space="preserve">abuts</w:t>
            </w:r>
          </w:p>
        </w:tc>
        <w:tc>
          <w:tcPr/>
          <w:p>
            <w:pPr>
              <w:pStyle w:val="Compact"/>
              <w:jc w:val="left"/>
            </w:pPr>
            <w:r>
              <w:rPr>
                <w:rStyle w:val="VerbatimChar"/>
              </w:rPr>
              <w:t xml:space="preserve">abuts</w:t>
            </w:r>
          </w:p>
        </w:tc>
        <w:tc>
          <w:tcPr/>
          <w:p>
            <w:pPr>
              <w:pStyle w:val="Compact"/>
              <w:jc w:val="left"/>
            </w:pPr>
            <w:r>
              <w:t xml:space="preserve">none</w:t>
            </w:r>
          </w:p>
        </w:tc>
      </w:tr>
    </w:tbl>
    <w:p>
      <w:pPr>
        <w:pStyle w:val="BodyText"/>
      </w:pPr>
      <w:r>
        <w:rPr>
          <w:rStyle w:val="VerbatimChar"/>
        </w:rPr>
        <w:t xml:space="preserve">LATER_THAN</w:t>
      </w:r>
      <w:r>
        <w:t xml:space="preserve"> </w:t>
      </w:r>
      <w:r>
        <w:t xml:space="preserve">is the subset that carries sequence:</w:t>
      </w:r>
      <w:r>
        <w:t xml:space="preserve"> </w:t>
      </w:r>
      <w:r>
        <w:rPr>
          <w:rStyle w:val="VerbatimChar"/>
        </w:rPr>
        <w:t xml:space="preserve">above</w:t>
      </w:r>
      <w:r>
        <w:t xml:space="preserve">,</w:t>
      </w:r>
      <w:r>
        <w:t xml:space="preserve"> </w:t>
      </w:r>
      <w:r>
        <w:rPr>
          <w:rStyle w:val="VerbatimChar"/>
        </w:rPr>
        <w:t xml:space="preserve">cuts</w:t>
      </w:r>
      <w:r>
        <w:t xml:space="preserve">,</w:t>
      </w:r>
      <w:r>
        <w:t xml:space="preserve"> </w:t>
      </w:r>
      <w:r>
        <w:rPr>
          <w:rStyle w:val="VerbatimChar"/>
        </w:rPr>
        <w:t xml:space="preserve">fills</w:t>
      </w:r>
      <w:r>
        <w:t xml:space="preserve">. Only those form matrix edges.</w:t>
      </w:r>
    </w:p>
    <w:p>
      <w:pPr>
        <w:pStyle w:val="BodyText"/>
      </w:pPr>
      <w:r>
        <w:rPr>
          <w:rStyle w:val="VerbatimChar"/>
        </w:rPr>
        <w:t xml:space="preserve">addRelationship()</w:t>
      </w:r>
      <w:r>
        <w:t xml:space="preserve"> </w:t>
      </w:r>
      <w:r>
        <w:t xml:space="preserve">writes both directions, rejects self-reference, and refuses any relationship that would create a loop by testing reachability before insert. It returns</w:t>
      </w:r>
      <w:r>
        <w:t xml:space="preserve"> </w:t>
      </w:r>
      <w:r>
        <w:rPr>
          <w:rStyle w:val="VerbatimChar"/>
        </w:rPr>
        <w:t xml:space="preserve">existed</w:t>
      </w:r>
      <w:r>
        <w:t xml:space="preserve"> </w:t>
      </w:r>
      <w:r>
        <w:t xml:space="preserve">so callers can distinguish an addition from a re-import.</w:t>
      </w:r>
    </w:p>
    <w:bookmarkEnd w:id="23"/>
    <w:bookmarkStart w:id="25" w:name="the-matrix"/>
    <w:p>
      <w:pPr>
        <w:pStyle w:val="Heading2"/>
      </w:pPr>
      <w:r>
        <w:t xml:space="preserve">The matrix</w:t>
      </w:r>
    </w:p>
    <w:p>
      <w:pPr>
        <w:pStyle w:val="FirstParagraph"/>
      </w:pPr>
      <w:r>
        <w:rPr>
          <w:rStyle w:val="VerbatimChar"/>
        </w:rPr>
        <w:t xml:space="preserve">harrisMatrix(int $siteId)</w:t>
      </w:r>
      <w:r>
        <w:t xml:space="preserve"> </w:t>
      </w:r>
      <w:r>
        <w:t xml:space="preserve">returns</w:t>
      </w:r>
      <w:r>
        <w:t xml:space="preserve"> </w:t>
      </w:r>
      <w:r>
        <w:rPr>
          <w:rStyle w:val="VerbatimChar"/>
        </w:rPr>
        <w:t xml:space="preserve">tiers</w:t>
      </w:r>
      <w:r>
        <w:t xml:space="preserve">,</w:t>
      </w:r>
      <w:r>
        <w:t xml:space="preserve"> </w:t>
      </w:r>
      <w:r>
        <w:rPr>
          <w:rStyle w:val="VerbatimChar"/>
        </w:rPr>
        <w:t xml:space="preserve">edges</w:t>
      </w:r>
      <w:r>
        <w:t xml:space="preserve">,</w:t>
      </w:r>
      <w:r>
        <w:t xml:space="preserve"> </w:t>
      </w:r>
      <w:r>
        <w:rPr>
          <w:rStyle w:val="VerbatimChar"/>
        </w:rPr>
        <w:t xml:space="preserve">has_cycle</w:t>
      </w:r>
      <w:r>
        <w:t xml:space="preserve">,</w:t>
      </w:r>
      <w:r>
        <w:t xml:space="preserve"> </w:t>
      </w:r>
      <w:r>
        <w:rPr>
          <w:rStyle w:val="VerbatimChar"/>
        </w:rPr>
        <w:t xml:space="preserve">mermaid</w:t>
      </w:r>
      <w:r>
        <w:t xml:space="preserve">,</w:t>
      </w:r>
      <w:r>
        <w:t xml:space="preserve"> </w:t>
      </w:r>
      <w:r>
        <w:rPr>
          <w:rStyle w:val="VerbatimChar"/>
        </w:rPr>
        <w:t xml:space="preserve">context_count</w:t>
      </w:r>
      <w:r>
        <w:t xml:space="preserve">,</w:t>
      </w:r>
      <w:r>
        <w:t xml:space="preserve"> </w:t>
      </w:r>
      <w:r>
        <w:rPr>
          <w:rStyle w:val="VerbatimChar"/>
        </w:rPr>
        <w:t xml:space="preserve">relationship_count</w:t>
      </w:r>
      <w:r>
        <w:t xml:space="preserve"> </w:t>
      </w:r>
      <w:r>
        <w:t xml:space="preserve">and</w:t>
      </w:r>
      <w:r>
        <w:t xml:space="preserve"> </w:t>
      </w:r>
      <w:r>
        <w:rPr>
          <w:rStyle w:val="VerbatimChar"/>
        </w:rPr>
        <w:t xml:space="preserve">redundant_count</w:t>
      </w:r>
      <w:r>
        <w:t xml:space="preserve">. It is computed on every call and never stored, so the diagram cannot drift from the record.</w:t>
      </w:r>
    </w:p>
    <w:p>
      <w:pPr>
        <w:numPr>
          <w:ilvl w:val="0"/>
          <w:numId w:val="1002"/>
        </w:numPr>
        <w:pStyle w:val="Compact"/>
      </w:pPr>
      <w:r>
        <w:rPr>
          <w:bCs/>
          <w:b/>
        </w:rPr>
        <w:t xml:space="preserve">Correlation merging</w:t>
      </w:r>
      <w:r>
        <w:t xml:space="preserve"> </w:t>
      </w:r>
      <w:r>
        <w:t xml:space="preserve">- union-find with path halving over</w:t>
      </w:r>
      <w:r>
        <w:t xml:space="preserve"> </w:t>
      </w:r>
      <w:r>
        <w:rPr>
          <w:rStyle w:val="VerbatimChar"/>
        </w:rPr>
        <w:t xml:space="preserve">same_as</w:t>
      </w:r>
      <w:r>
        <w:t xml:space="preserve">, so correlated contexts become one node.</w:t>
      </w:r>
    </w:p>
    <w:p>
      <w:pPr>
        <w:numPr>
          <w:ilvl w:val="0"/>
          <w:numId w:val="1002"/>
        </w:numPr>
        <w:pStyle w:val="Compact"/>
      </w:pPr>
      <w:r>
        <w:rPr>
          <w:bCs/>
          <w:b/>
        </w:rPr>
        <w:t xml:space="preserve">Edge construction</w:t>
      </w:r>
      <w:r>
        <w:t xml:space="preserve"> </w:t>
      </w:r>
      <w:r>
        <w:t xml:space="preserve">- directed edges between merged nodes, from</w:t>
      </w:r>
      <w:r>
        <w:t xml:space="preserve"> </w:t>
      </w:r>
      <w:r>
        <w:rPr>
          <w:rStyle w:val="VerbatimChar"/>
        </w:rPr>
        <w:t xml:space="preserve">LATER_THAN</w:t>
      </w:r>
      <w:r>
        <w:t xml:space="preserve"> </w:t>
      </w:r>
      <w:r>
        <w:t xml:space="preserve">relationships only.</w:t>
      </w:r>
    </w:p>
    <w:p>
      <w:pPr>
        <w:numPr>
          <w:ilvl w:val="0"/>
          <w:numId w:val="1002"/>
        </w:numPr>
        <w:pStyle w:val="Compact"/>
      </w:pPr>
      <w:r>
        <w:rPr>
          <w:bCs/>
          <w:b/>
        </w:rPr>
        <w:t xml:space="preserve">Layering</w:t>
      </w:r>
      <w:r>
        <w:t xml:space="preserve"> </w:t>
      </w:r>
      <w:r>
        <w:t xml:space="preserve">- Kahn longest-path over the full edge set. Level 0 is latest, drawn at the top. Fewer nodes drained than exist means a cycle, reported rather than silently dropping contexts.</w:t>
      </w:r>
    </w:p>
    <w:p>
      <w:pPr>
        <w:numPr>
          <w:ilvl w:val="0"/>
          <w:numId w:val="1002"/>
        </w:numPr>
        <w:pStyle w:val="Compact"/>
      </w:pPr>
      <w:r>
        <w:rPr>
          <w:bCs/>
          <w:b/>
        </w:rPr>
        <w:t xml:space="preserve">Transitive reduction</w:t>
      </w:r>
      <w:r>
        <w:t xml:space="preserve"> </w:t>
      </w:r>
      <w:r>
        <w:t xml:space="preserve">- applied to the drawn edges only, never to the record.</w:t>
      </w:r>
    </w:p>
    <w:bookmarkStart w:id="24" w:name="transitive-reduction"/>
    <w:p>
      <w:pPr>
        <w:pStyle w:val="Heading3"/>
      </w:pPr>
      <w:r>
        <w:t xml:space="preserve">Transitive reduction</w:t>
      </w:r>
    </w:p>
    <w:p>
      <w:pPr>
        <w:pStyle w:val="FirstParagraph"/>
      </w:pPr>
      <w:r>
        <w:t xml:space="preserve">Harris's Law of Stratigraphic Succession requires a matrix to show only immediate relationships. Where A is above B, B above C and A above C is also recorded, the third is implied and must not be drawn.</w:t>
      </w:r>
    </w:p>
    <w:p>
      <w:pPr>
        <w:pStyle w:val="BodyText"/>
      </w:pPr>
      <w:r>
        <w:t xml:space="preserve">Reachability is computed</w:t>
      </w:r>
      <w:r>
        <w:t xml:space="preserve"> </w:t>
      </w:r>
      <w:r>
        <w:rPr>
          <w:bCs/>
          <w:b/>
        </w:rPr>
        <w:t xml:space="preserve">once</w:t>
      </w:r>
      <w:r>
        <w:t xml:space="preserve">, as bitsets of descendants over a reverse topological order. The obvious implementation - a graph search per edge - is O(E x (V+E)) and was measured at 10.5 seconds on 3,000 contexts with 12,000 relationships, on a method that runs on every page view. The bitset form returns the same result in 60 ms.</w:t>
      </w:r>
    </w:p>
    <w:p>
      <w:pPr>
        <w:pStyle w:val="BodyText"/>
      </w:pPr>
      <w:r>
        <w:t xml:space="preserve">Only valid on a DAG; the caller must not pass a cyclic graph, since the topological order would not exist.</w:t>
      </w:r>
      <w:r>
        <w:t xml:space="preserve"> </w:t>
      </w:r>
      <w:r>
        <w:rPr>
          <w:rStyle w:val="VerbatimChar"/>
        </w:rPr>
        <w:t xml:space="preserve">redundant_count</w:t>
      </w:r>
      <w:r>
        <w:t xml:space="preserve"> </w:t>
      </w:r>
      <w:r>
        <w:t xml:space="preserve">is surfaced so a reader can tell a correct reduction from lost data.</w:t>
      </w:r>
    </w:p>
    <w:bookmarkEnd w:id="24"/>
    <w:bookmarkEnd w:id="25"/>
    <w:bookmarkStart w:id="26" w:name="consistency-checks"/>
    <w:p>
      <w:pPr>
        <w:pStyle w:val="Heading2"/>
      </w:pPr>
      <w:r>
        <w:t xml:space="preserve">Consistency checks</w:t>
      </w:r>
    </w:p>
    <w:p>
      <w:pPr>
        <w:pStyle w:val="FirstParagraph"/>
      </w:pPr>
      <w:r>
        <w:rPr>
          <w:rStyle w:val="VerbatimChar"/>
        </w:rPr>
        <w:t xml:space="preserve">consistencyReport(int $siteId)</w:t>
      </w:r>
      <w:r>
        <w:t xml:space="preserve"> </w:t>
      </w:r>
      <w:r>
        <w:t xml:space="preserve">returns findings and the list of checks performed. Every check is deliberately conservative: a check that reports ordinary excavation messiness gets switched off, and then catches nothing.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Severity</w:t>
            </w:r>
          </w:p>
        </w:tc>
        <w:tc>
          <w:tcPr/>
          <w:p>
            <w:pPr>
              <w:pStyle w:val="Compact"/>
              <w:jc w:val="left"/>
            </w:pPr>
            <w:r>
              <w:t xml:space="preserve">Notes</w:t>
            </w:r>
          </w:p>
        </w:tc>
      </w:tr>
      <w:tr>
        <w:tc>
          <w:tcPr/>
          <w:p>
            <w:pPr>
              <w:pStyle w:val="Compact"/>
              <w:jc w:val="left"/>
            </w:pPr>
            <w:r>
              <w:t xml:space="preserve">Stratigraphic loops</w:t>
            </w:r>
          </w:p>
        </w:tc>
        <w:tc>
          <w:tcPr/>
          <w:p>
            <w:pPr>
              <w:pStyle w:val="Compact"/>
              <w:jc w:val="left"/>
            </w:pPr>
            <w:r>
              <w:t xml:space="preserve">error</w:t>
            </w:r>
          </w:p>
        </w:tc>
        <w:tc>
          <w:tcPr/>
          <w:p>
            <w:pPr>
              <w:pStyle w:val="Compact"/>
              <w:jc w:val="left"/>
            </w:pPr>
            <w:r>
              <w:t xml:space="preserve">From</w:t>
            </w:r>
            <w:r>
              <w:t xml:space="preserve"> </w:t>
            </w:r>
            <w:r>
              <w:rPr>
                <w:rStyle w:val="VerbatimChar"/>
              </w:rPr>
              <w:t xml:space="preserve">has_cycle</w:t>
            </w:r>
          </w:p>
        </w:tc>
      </w:tr>
      <w:tr>
        <w:tc>
          <w:tcPr/>
          <w:p>
            <w:pPr>
              <w:pStyle w:val="Compact"/>
              <w:jc w:val="left"/>
            </w:pPr>
            <w:r>
              <w:t xml:space="preserve">Contexts with no relationships</w:t>
            </w:r>
          </w:p>
        </w:tc>
        <w:tc>
          <w:tcPr/>
          <w:p>
            <w:pPr>
              <w:pStyle w:val="Compact"/>
              <w:jc w:val="left"/>
            </w:pPr>
            <w:r>
              <w:t xml:space="preserve">warning</w:t>
            </w:r>
          </w:p>
        </w:tc>
        <w:tc>
          <w:tcPr/>
          <w:p>
            <w:pPr>
              <w:pStyle w:val="Compact"/>
              <w:jc w:val="left"/>
            </w:pPr>
            <w:r>
              <w:t xml:space="preserve">Outside the sequence entirely</w:t>
            </w:r>
          </w:p>
        </w:tc>
      </w:tr>
      <w:tr>
        <w:tc>
          <w:tcPr/>
          <w:p>
            <w:pPr>
              <w:pStyle w:val="Compact"/>
              <w:jc w:val="left"/>
            </w:pPr>
            <w:r>
              <w:t xml:space="preserve">Sequence in unconnected pieces</w:t>
            </w:r>
          </w:p>
        </w:tc>
        <w:tc>
          <w:tcPr/>
          <w:p>
            <w:pPr>
              <w:pStyle w:val="Compact"/>
              <w:jc w:val="left"/>
            </w:pPr>
            <w:r>
              <w:t xml:space="preserve">warning</w:t>
            </w:r>
          </w:p>
        </w:tc>
        <w:tc>
          <w:tcPr/>
          <w:p>
            <w:pPr>
              <w:pStyle w:val="Compact"/>
              <w:jc w:val="left"/>
            </w:pPr>
            <w:r>
              <w:t xml:space="preserve">Undirected connectivity; normal for separate trenches</w:t>
            </w:r>
          </w:p>
        </w:tc>
      </w:tr>
      <w:tr>
        <w:tc>
          <w:tcPr/>
          <w:p>
            <w:pPr>
              <w:pStyle w:val="Compact"/>
              <w:jc w:val="left"/>
            </w:pPr>
            <w:r>
              <w:rPr>
                <w:rStyle w:val="VerbatimChar"/>
              </w:rPr>
              <w:t xml:space="preserve">same_as</w:t>
            </w:r>
            <w:r>
              <w:t xml:space="preserve"> </w:t>
            </w:r>
            <w:r>
              <w:t xml:space="preserve">contradicting superposition</w:t>
            </w:r>
          </w:p>
        </w:tc>
        <w:tc>
          <w:tcPr/>
          <w:p>
            <w:pPr>
              <w:pStyle w:val="Compact"/>
              <w:jc w:val="left"/>
            </w:pPr>
            <w:r>
              <w:t xml:space="preserve">error</w:t>
            </w:r>
          </w:p>
        </w:tc>
        <w:tc>
          <w:tcPr/>
          <w:p>
            <w:pPr>
              <w:pStyle w:val="Compact"/>
              <w:jc w:val="left"/>
            </w:pPr>
            <w:r>
              <w:t xml:space="preserve">Cannot be the same feature and one above the other</w:t>
            </w:r>
          </w:p>
        </w:tc>
      </w:tr>
      <w:tr>
        <w:tc>
          <w:tcPr/>
          <w:p>
            <w:pPr>
              <w:pStyle w:val="Compact"/>
              <w:jc w:val="left"/>
            </w:pPr>
            <w:r>
              <w:t xml:space="preserve">Elevations against superposition</w:t>
            </w:r>
          </w:p>
        </w:tc>
        <w:tc>
          <w:tcPr/>
          <w:p>
            <w:pPr>
              <w:pStyle w:val="Compact"/>
              <w:jc w:val="left"/>
            </w:pPr>
            <w:r>
              <w:t xml:space="preserve">warning</w:t>
            </w:r>
          </w:p>
        </w:tc>
        <w:tc>
          <w:tcPr/>
          <w:p>
            <w:pPr>
              <w:pStyle w:val="Compact"/>
              <w:jc w:val="left"/>
            </w:pPr>
            <w:r>
              <w:rPr>
                <w:rStyle w:val="VerbatimChar"/>
                <w:bCs/>
                <w:b/>
              </w:rPr>
              <w:t xml:space="preserve">above</w:t>
            </w:r>
            <w:r>
              <w:rPr>
                <w:bCs/>
                <w:b/>
              </w:rPr>
              <w:t xml:space="preserve"> </w:t>
            </w:r>
            <w:r>
              <w:rPr>
                <w:bCs/>
                <w:b/>
              </w:rPr>
              <w:t xml:space="preserve">only</w:t>
            </w:r>
            <w:r>
              <w:t xml:space="preserve">, strict inequality</w:t>
            </w:r>
          </w:p>
        </w:tc>
      </w:tr>
      <w:tr>
        <w:tc>
          <w:tcPr/>
          <w:p>
            <w:pPr>
              <w:pStyle w:val="Compact"/>
              <w:jc w:val="left"/>
            </w:pPr>
            <w:r>
              <w:t xml:space="preserve">Phase against superposition</w:t>
            </w:r>
          </w:p>
        </w:tc>
        <w:tc>
          <w:tcPr/>
          <w:p>
            <w:pPr>
              <w:pStyle w:val="Compact"/>
              <w:jc w:val="left"/>
            </w:pPr>
            <w:r>
              <w:t xml:space="preserve">warning</w:t>
            </w:r>
          </w:p>
        </w:tc>
        <w:tc>
          <w:tcPr/>
          <w:p>
            <w:pPr>
              <w:pStyle w:val="Compact"/>
              <w:jc w:val="left"/>
            </w:pPr>
            <w:r>
              <w:t xml:space="preserve">Convention inferred, not assumed</w:t>
            </w:r>
          </w:p>
        </w:tc>
      </w:tr>
    </w:tbl>
    <w:p>
      <w:pPr>
        <w:pStyle w:val="BodyText"/>
      </w:pPr>
      <w:r>
        <w:t xml:space="preserve">Two constraints worth stating, because both produced false positives before they were understood:</w:t>
      </w:r>
    </w:p>
    <w:p>
      <w:pPr>
        <w:pStyle w:val="BodyText"/>
      </w:pPr>
      <w:r>
        <w:rPr>
          <w:bCs/>
          <w:b/>
        </w:rPr>
        <w:t xml:space="preserve">Elevation checks apply to</w:t>
      </w:r>
      <w:r>
        <w:rPr>
          <w:bCs/>
          <w:b/>
        </w:rPr>
        <w:t xml:space="preserve"> </w:t>
      </w:r>
      <w:r>
        <w:rPr>
          <w:rStyle w:val="VerbatimChar"/>
          <w:bCs/>
          <w:b/>
        </w:rPr>
        <w:t xml:space="preserve">above</w:t>
      </w:r>
      <w:r>
        <w:rPr>
          <w:bCs/>
          <w:b/>
        </w:rPr>
        <w:t xml:space="preserve"> </w:t>
      </w:r>
      <w:r>
        <w:rPr>
          <w:bCs/>
          <w:b/>
        </w:rPr>
        <w:t xml:space="preserve">only.</w:t>
      </w:r>
      <w:r>
        <w:t xml:space="preserve"> </w:t>
      </w:r>
      <w:r>
        <w:t xml:space="preserve">A cut extends downward from the surface it was cut from, so its top sitting at the bottom of the deposit it cuts is correct; a fill sits inside that cut. Including</w:t>
      </w:r>
      <w:r>
        <w:t xml:space="preserve"> </w:t>
      </w:r>
      <w:r>
        <w:rPr>
          <w:rStyle w:val="VerbatimChar"/>
        </w:rPr>
        <w:t xml:space="preserve">cuts</w:t>
      </w:r>
      <w:r>
        <w:t xml:space="preserve"> </w:t>
      </w:r>
      <w:r>
        <w:t xml:space="preserve">and</w:t>
      </w:r>
      <w:r>
        <w:t xml:space="preserve"> </w:t>
      </w:r>
      <w:r>
        <w:rPr>
          <w:rStyle w:val="VerbatimChar"/>
        </w:rPr>
        <w:t xml:space="preserve">fills</w:t>
      </w:r>
      <w:r>
        <w:t xml:space="preserve"> </w:t>
      </w:r>
      <w:r>
        <w:t xml:space="preserve">gave a false positive for every one of them.</w:t>
      </w:r>
    </w:p>
    <w:p>
      <w:pPr>
        <w:pStyle w:val="BodyText"/>
      </w:pPr>
      <w:r>
        <w:rPr>
          <w:bCs/>
          <w:b/>
        </w:rPr>
        <w:t xml:space="preserve">Phase numbering direction is a site convention.</w:t>
      </w:r>
      <w:r>
        <w:t xml:space="preserve"> </w:t>
      </w:r>
      <w:r>
        <w:t xml:space="preserve">Some schemes number the earliest phase 1, others the latest. The check counts which way the site's own relationships run, adopts the majority as the convention, reports only the outliers, and stays silent when there is no clear majority.</w:t>
      </w:r>
    </w:p>
    <w:bookmarkEnd w:id="26"/>
    <w:bookmarkStart w:id="29" w:name="import-and-export"/>
    <w:p>
      <w:pPr>
        <w:pStyle w:val="Heading2"/>
      </w:pPr>
      <w:r>
        <w:t xml:space="preserve">Import and export</w:t>
      </w:r>
    </w:p>
    <w:bookmarkStart w:id="27" w:name="export"/>
    <w:p>
      <w:pPr>
        <w:pStyle w:val="Heading3"/>
      </w:pPr>
      <w:r>
        <w:t xml:space="preserve">Export</w:t>
      </w:r>
    </w:p>
    <w:p>
      <w:pPr>
        <w:pStyle w:val="FirstParagraph"/>
      </w:pPr>
      <w:r>
        <w:rPr>
          <w:rStyle w:val="VerbatimChar"/>
        </w:rPr>
        <w:t xml:space="preserve">exportDataPackage()</w:t>
      </w:r>
      <w:r>
        <w:t xml:space="preserve"> </w:t>
      </w:r>
      <w:r>
        <w:t xml:space="preserve">returns a file map assembled into a zip by the export action. It follows the table schema Thomas Dye defined for the</w:t>
      </w:r>
      <w:r>
        <w:t xml:space="preserve"> </w:t>
      </w:r>
      <w:r>
        <w:rPr>
          <w:rStyle w:val="VerbatimChar"/>
        </w:rPr>
        <w:t xml:space="preserve">hm</w:t>
      </w:r>
      <w:r>
        <w:t xml:space="preserve"> </w:t>
      </w:r>
      <w:r>
        <w:t xml:space="preserve">package, which the Harris Matrix Data Package builds on:</w:t>
      </w:r>
    </w:p>
    <w:p>
      <w:pPr>
        <w:numPr>
          <w:ilvl w:val="0"/>
          <w:numId w:val="1003"/>
        </w:numPr>
        <w:pStyle w:val="Compact"/>
      </w:pPr>
      <w:r>
        <w:rPr>
          <w:rStyle w:val="VerbatimChar"/>
        </w:rPr>
        <w:t xml:space="preserve">contexts.csv</w:t>
      </w:r>
      <w:r>
        <w:t xml:space="preserve"> </w:t>
      </w:r>
      <w:r>
        <w:t xml:space="preserve">-</w:t>
      </w:r>
      <w:r>
        <w:t xml:space="preserve"> </w:t>
      </w:r>
      <w:r>
        <w:rPr>
          <w:rStyle w:val="VerbatimChar"/>
        </w:rPr>
        <w:t xml:space="preserve">label</w:t>
      </w:r>
      <w:r>
        <w:t xml:space="preserve">,</w:t>
      </w:r>
      <w:r>
        <w:t xml:space="preserve"> </w:t>
      </w:r>
      <w:r>
        <w:rPr>
          <w:rStyle w:val="VerbatimChar"/>
        </w:rPr>
        <w:t xml:space="preserve">unit-type</w:t>
      </w:r>
      <w:r>
        <w:t xml:space="preserve"> </w:t>
      </w:r>
      <w:r>
        <w:t xml:space="preserve">(</w:t>
      </w:r>
      <w:r>
        <w:rPr>
          <w:rStyle w:val="VerbatimChar"/>
        </w:rPr>
        <w:t xml:space="preserve">interface</w:t>
      </w:r>
      <w:r>
        <w:t xml:space="preserve"> </w:t>
      </w:r>
      <w:r>
        <w:t xml:space="preserve">or</w:t>
      </w:r>
      <w:r>
        <w:t xml:space="preserve"> </w:t>
      </w:r>
      <w:r>
        <w:rPr>
          <w:rStyle w:val="VerbatimChar"/>
        </w:rPr>
        <w:t xml:space="preserve">deposit</w:t>
      </w:r>
      <w:r>
        <w:t xml:space="preserve">),</w:t>
      </w:r>
      <w:r>
        <w:t xml:space="preserve"> </w:t>
      </w:r>
      <w:r>
        <w:rPr>
          <w:rStyle w:val="VerbatimChar"/>
        </w:rPr>
        <w:t xml:space="preserve">position</w:t>
      </w:r>
      <w:r>
        <w:t xml:space="preserve">,</w:t>
      </w:r>
      <w:r>
        <w:t xml:space="preserve"> </w:t>
      </w:r>
      <w:r>
        <w:rPr>
          <w:rStyle w:val="VerbatimChar"/>
        </w:rPr>
        <w:t xml:space="preserve">period</w:t>
      </w:r>
      <w:r>
        <w:t xml:space="preserve">,</w:t>
      </w:r>
      <w:r>
        <w:t xml:space="preserve"> </w:t>
      </w:r>
      <w:r>
        <w:rPr>
          <w:rStyle w:val="VerbatimChar"/>
        </w:rPr>
        <w:t xml:space="preserve">phase</w:t>
      </w:r>
      <w:r>
        <w:t xml:space="preserve">,</w:t>
      </w:r>
      <w:r>
        <w:t xml:space="preserve"> </w:t>
      </w:r>
      <w:r>
        <w:rPr>
          <w:rStyle w:val="VerbatimChar"/>
        </w:rPr>
        <w:t xml:space="preserve">url</w:t>
      </w:r>
    </w:p>
    <w:p>
      <w:pPr>
        <w:numPr>
          <w:ilvl w:val="0"/>
          <w:numId w:val="1003"/>
        </w:numPr>
        <w:pStyle w:val="Compact"/>
      </w:pPr>
      <w:r>
        <w:rPr>
          <w:rStyle w:val="VerbatimChar"/>
        </w:rPr>
        <w:t xml:space="preserve">observations.csv</w:t>
      </w:r>
      <w:r>
        <w:t xml:space="preserve"> </w:t>
      </w:r>
      <w:r>
        <w:t xml:space="preserve">-</w:t>
      </w:r>
      <w:r>
        <w:t xml:space="preserve"> </w:t>
      </w:r>
      <w:r>
        <w:rPr>
          <w:rStyle w:val="VerbatimChar"/>
        </w:rPr>
        <w:t xml:space="preserve">younger</w:t>
      </w:r>
      <w:r>
        <w:t xml:space="preserve">,</w:t>
      </w:r>
      <w:r>
        <w:t xml:space="preserve"> </w:t>
      </w:r>
      <w:r>
        <w:rPr>
          <w:rStyle w:val="VerbatimChar"/>
        </w:rPr>
        <w:t xml:space="preserve">older</w:t>
      </w:r>
      <w:r>
        <w:t xml:space="preserve">,</w:t>
      </w:r>
      <w:r>
        <w:t xml:space="preserve"> </w:t>
      </w:r>
      <w:r>
        <w:rPr>
          <w:rStyle w:val="VerbatimChar"/>
        </w:rPr>
        <w:t xml:space="preserve">url</w:t>
      </w:r>
      <w:r>
        <w:t xml:space="preserve">. No relation-type column: the format records superposition only.</w:t>
      </w:r>
    </w:p>
    <w:p>
      <w:pPr>
        <w:numPr>
          <w:ilvl w:val="0"/>
          <w:numId w:val="1003"/>
        </w:numPr>
        <w:pStyle w:val="Compact"/>
      </w:pPr>
      <w:r>
        <w:rPr>
          <w:rStyle w:val="VerbatimChar"/>
        </w:rPr>
        <w:t xml:space="preserve">correlations.csv</w:t>
      </w:r>
      <w:r>
        <w:t xml:space="preserve"> </w:t>
      </w:r>
      <w:r>
        <w:t xml:space="preserve">-</w:t>
      </w:r>
      <w:r>
        <w:t xml:space="preserve"> </w:t>
      </w:r>
      <w:r>
        <w:rPr>
          <w:bCs/>
          <w:b/>
        </w:rPr>
        <w:t xml:space="preserve">AHG extension</w:t>
      </w:r>
      <w:r>
        <w:t xml:space="preserve">, named as such in the descriptor.</w:t>
      </w:r>
      <w:r>
        <w:t xml:space="preserve"> </w:t>
      </w:r>
      <w:r>
        <w:rPr>
          <w:rStyle w:val="VerbatimChar"/>
        </w:rPr>
        <w:t xml:space="preserve">same_as</w:t>
      </w:r>
      <w:r>
        <w:t xml:space="preserve"> </w:t>
      </w:r>
      <w:r>
        <w:t xml:space="preserve">has no home in the two standard tables, and dropping it would lose real information.</w:t>
      </w:r>
    </w:p>
    <w:p>
      <w:pPr>
        <w:numPr>
          <w:ilvl w:val="0"/>
          <w:numId w:val="1003"/>
        </w:numPr>
        <w:pStyle w:val="Compact"/>
      </w:pPr>
      <w:r>
        <w:rPr>
          <w:rStyle w:val="VerbatimChar"/>
        </w:rPr>
        <w:t xml:space="preserve">datapackage.json</w:t>
      </w:r>
      <w:r>
        <w:t xml:space="preserve"> </w:t>
      </w:r>
      <w:r>
        <w:t xml:space="preserve">- Frictionless</w:t>
      </w:r>
      <w:r>
        <w:t xml:space="preserve"> </w:t>
      </w:r>
      <w:r>
        <w:rPr>
          <w:rStyle w:val="VerbatimChar"/>
        </w:rPr>
        <w:t xml:space="preserve">tabular-data-package</w:t>
      </w:r>
      <w:r>
        <w:t xml:space="preserve"> </w:t>
      </w:r>
      <w:r>
        <w:t xml:space="preserve">descriptor.</w:t>
      </w:r>
    </w:p>
    <w:p>
      <w:pPr>
        <w:pStyle w:val="FirstParagraph"/>
      </w:pPr>
      <w:r>
        <w:rPr>
          <w:rStyle w:val="VerbatimChar"/>
        </w:rPr>
        <w:t xml:space="preserve">position</w:t>
      </w:r>
      <w:r>
        <w:t xml:space="preserve"> </w:t>
      </w:r>
      <w:r>
        <w:t xml:space="preserve">is emitted empty.</w:t>
      </w:r>
      <w:r>
        <w:t xml:space="preserve"> </w:t>
      </w:r>
      <w:r>
        <w:rPr>
          <w:rStyle w:val="VerbatimChar"/>
        </w:rPr>
        <w:t xml:space="preserve">hm</w:t>
      </w:r>
      <w:r>
        <w:t xml:space="preserve"> </w:t>
      </w:r>
      <w:r>
        <w:t xml:space="preserve">uses it for surface and basal contexts, and it could be inferred from the top and bottom tiers, but "surface" is a claim about the ground rather than about a diagram.</w:t>
      </w:r>
    </w:p>
    <w:p>
      <w:pPr>
        <w:pStyle w:val="BodyText"/>
      </w:pPr>
      <w:r>
        <w:rPr>
          <w:rStyle w:val="VerbatimChar"/>
        </w:rPr>
        <w:t xml:space="preserve">exportDot()</w:t>
      </w:r>
      <w:r>
        <w:t xml:space="preserve"> </w:t>
      </w:r>
      <w:r>
        <w:t xml:space="preserve">emits GraphViz DOT of the</w:t>
      </w:r>
      <w:r>
        <w:t xml:space="preserve"> </w:t>
      </w:r>
      <w:r>
        <w:rPr>
          <w:bCs/>
          <w:b/>
        </w:rPr>
        <w:t xml:space="preserve">reduced</w:t>
      </w:r>
      <w:r>
        <w:t xml:space="preserve"> </w:t>
      </w:r>
      <w:r>
        <w:t xml:space="preserve">edge set, with interfaces dashed.</w:t>
      </w:r>
      <w:r>
        <w:t xml:space="preserve"> </w:t>
      </w:r>
      <w:r>
        <w:rPr>
          <w:rStyle w:val="VerbatimChar"/>
        </w:rPr>
        <w:t xml:space="preserve">exportPhaserCsv()</w:t>
      </w:r>
      <w:r>
        <w:t xml:space="preserve"> </w:t>
      </w:r>
      <w:r>
        <w:t xml:space="preserve">emits</w:t>
      </w:r>
      <w:r>
        <w:t xml:space="preserve"> </w:t>
      </w:r>
      <w:r>
        <w:rPr>
          <w:rStyle w:val="VerbatimChar"/>
        </w:rPr>
        <w:t xml:space="preserve">siteCode</w:t>
      </w:r>
      <w:r>
        <w:t xml:space="preserve">,</w:t>
      </w:r>
      <w:r>
        <w:t xml:space="preserve"> </w:t>
      </w:r>
      <w:r>
        <w:rPr>
          <w:rStyle w:val="VerbatimChar"/>
        </w:rPr>
        <w:t xml:space="preserve">sourceID</w:t>
      </w:r>
      <w:r>
        <w:t xml:space="preserve">,</w:t>
      </w:r>
      <w:r>
        <w:t xml:space="preserve"> </w:t>
      </w:r>
      <w:r>
        <w:rPr>
          <w:rStyle w:val="VerbatimChar"/>
        </w:rPr>
        <w:t xml:space="preserve">stratRelationship</w:t>
      </w:r>
      <w:r>
        <w:t xml:space="preserve">,</w:t>
      </w:r>
      <w:r>
        <w:t xml:space="preserve"> </w:t>
      </w:r>
      <w:r>
        <w:rPr>
          <w:rStyle w:val="VerbatimChar"/>
        </w:rPr>
        <w:t xml:space="preserve">targetID</w:t>
      </w:r>
      <w:r>
        <w:t xml:space="preserve">, one row per logical relationship - reciprocals are collapsed, so 22 relationships export as 22 rows rather than 44.</w:t>
      </w:r>
    </w:p>
    <w:bookmarkEnd w:id="27"/>
    <w:bookmarkStart w:id="28" w:name="import"/>
    <w:p>
      <w:pPr>
        <w:pStyle w:val="Heading3"/>
      </w:pPr>
      <w:r>
        <w:t xml:space="preserve">Import</w:t>
      </w:r>
    </w:p>
    <w:p>
      <w:pPr>
        <w:pStyle w:val="FirstParagraph"/>
      </w:pPr>
      <w:r>
        <w:rPr>
          <w:rStyle w:val="VerbatimChar"/>
        </w:rPr>
        <w:t xml:space="preserve">importRelationshipsCsv()</w:t>
      </w:r>
      <w:r>
        <w:t xml:space="preserve"> </w:t>
      </w:r>
      <w:r>
        <w:t xml:space="preserve">takes rows of source, type and target. Contexts are matched by number within the site and</w:t>
      </w:r>
      <w:r>
        <w:t xml:space="preserve"> </w:t>
      </w:r>
      <w:r>
        <w:rPr>
          <w:bCs/>
          <w:b/>
        </w:rPr>
        <w:t xml:space="preserve">never created</w:t>
      </w:r>
      <w:r>
        <w:t xml:space="preserve">: a relationship naming an unknown context is reported. Every row passes through</w:t>
      </w:r>
      <w:r>
        <w:t xml:space="preserve"> </w:t>
      </w:r>
      <w:r>
        <w:rPr>
          <w:rStyle w:val="VerbatimChar"/>
        </w:rPr>
        <w:t xml:space="preserve">addRelationship()</w:t>
      </w:r>
      <w:r>
        <w:t xml:space="preserve">, so reciprocity, self-reference and the cycle guard apply exactly as they do to typed entry. The whole run is wrapped in a transaction rolled back unless committed, so a preview reports real counts from a real run.</w:t>
      </w:r>
    </w:p>
    <w:p>
      <w:pPr>
        <w:pStyle w:val="BodyText"/>
      </w:pPr>
      <w:r>
        <w:rPr>
          <w:rStyle w:val="VerbatimChar"/>
        </w:rPr>
        <w:t xml:space="preserve">parsePhaserCsv()</w:t>
      </w:r>
      <w:r>
        <w:t xml:space="preserve"> </w:t>
      </w:r>
      <w:r>
        <w:t xml:space="preserve">reads the four-column CSV and ignores rows whose</w:t>
      </w:r>
      <w:r>
        <w:t xml:space="preserve"> </w:t>
      </w:r>
      <w:r>
        <w:rPr>
          <w:rStyle w:val="VerbatimChar"/>
        </w:rPr>
        <w:t xml:space="preserve">siteCode</w:t>
      </w:r>
      <w:r>
        <w:t xml:space="preserve"> </w:t>
      </w:r>
      <w:r>
        <w:t xml:space="preserve">names a different site, reporting how many were skipped.</w:t>
      </w:r>
      <w:r>
        <w:t xml:space="preserve"> </w:t>
      </w:r>
      <w:r>
        <w:rPr>
          <w:rStyle w:val="VerbatimChar"/>
        </w:rPr>
        <w:t xml:space="preserve">parseLst()</w:t>
      </w:r>
      <w:r>
        <w:t xml:space="preserve"> </w:t>
      </w:r>
      <w:r>
        <w:t xml:space="preserve">reads the format written by BASP Harris, Stratify and ArchEd: the first three lines are ignored, the first unit name is on line four, and each unit is followed by exactly four comma-separated relationship lines in the order</w:t>
      </w:r>
      <w:r>
        <w:t xml:space="preserve"> </w:t>
      </w:r>
      <w:r>
        <w:rPr>
          <w:rStyle w:val="VerbatimChar"/>
        </w:rPr>
        <w:t xml:space="preserve">above</w:t>
      </w:r>
      <w:r>
        <w:t xml:space="preserve">,</w:t>
      </w:r>
      <w:r>
        <w:t xml:space="preserve"> </w:t>
      </w:r>
      <w:r>
        <w:rPr>
          <w:rStyle w:val="VerbatimChar"/>
        </w:rPr>
        <w:t xml:space="preserve">contemporary_with</w:t>
      </w:r>
      <w:r>
        <w:t xml:space="preserve">,</w:t>
      </w:r>
      <w:r>
        <w:t xml:space="preserve"> </w:t>
      </w:r>
      <w:r>
        <w:rPr>
          <w:rStyle w:val="VerbatimChar"/>
        </w:rPr>
        <w:t xml:space="preserve">equal_to</w:t>
      </w:r>
      <w:r>
        <w:t xml:space="preserve">,</w:t>
      </w:r>
      <w:r>
        <w:t xml:space="preserve"> </w:t>
      </w:r>
      <w:r>
        <w:rPr>
          <w:rStyle w:val="VerbatimChar"/>
        </w:rPr>
        <w:t xml:space="preserve">below</w:t>
      </w:r>
      <w:r>
        <w:t xml:space="preserve">, all four always present.</w:t>
      </w:r>
    </w:p>
    <w:p>
      <w:pPr>
        <w:pStyle w:val="BodyText"/>
      </w:pPr>
      <w:r>
        <w:rPr>
          <w:rStyle w:val="VerbatimChar"/>
        </w:rPr>
        <w:t xml:space="preserve">contemporary_with</w:t>
      </w:r>
      <w:r>
        <w:t xml:space="preserve"> </w:t>
      </w:r>
      <w:r>
        <w:t xml:space="preserve">is</w:t>
      </w:r>
      <w:r>
        <w:t xml:space="preserve"> </w:t>
      </w:r>
      <w:r>
        <w:rPr>
          <w:bCs/>
          <w:b/>
        </w:rPr>
        <w:t xml:space="preserve">declined, not mapped</w:t>
      </w:r>
      <w:r>
        <w:t xml:space="preserve">. It means units of the same period that are not physically joined, whereas</w:t>
      </w:r>
      <w:r>
        <w:t xml:space="preserve"> </w:t>
      </w:r>
      <w:r>
        <w:rPr>
          <w:rStyle w:val="VerbatimChar"/>
        </w:rPr>
        <w:t xml:space="preserve">bonds_with</w:t>
      </w:r>
      <w:r>
        <w:t xml:space="preserve"> </w:t>
      </w:r>
      <w:r>
        <w:t xml:space="preserve">and</w:t>
      </w:r>
      <w:r>
        <w:t xml:space="preserve"> </w:t>
      </w:r>
      <w:r>
        <w:rPr>
          <w:rStyle w:val="VerbatimChar"/>
        </w:rPr>
        <w:t xml:space="preserve">abuts</w:t>
      </w:r>
      <w:r>
        <w:t xml:space="preserve"> </w:t>
      </w:r>
      <w:r>
        <w:t xml:space="preserve">both assert physical contact; mapping it would record an observation nobody made. The count and reason are reported.</w:t>
      </w:r>
    </w:p>
    <w:p>
      <w:pPr>
        <w:pStyle w:val="BodyText"/>
      </w:pPr>
      <w:r>
        <w:rPr>
          <w:rStyle w:val="VerbatimChar"/>
        </w:rPr>
        <w:t xml:space="preserve">RELATIONSHIP_SYNONYMS</w:t>
      </w:r>
      <w:r>
        <w:t xml:space="preserve"> </w:t>
      </w:r>
      <w:r>
        <w:t xml:space="preserve">accepts the vocabulary other tools use (</w:t>
      </w:r>
      <w:r>
        <w:rPr>
          <w:rStyle w:val="VerbatimChar"/>
        </w:rPr>
        <w:t xml:space="preserve">later</w:t>
      </w:r>
      <w:r>
        <w:t xml:space="preserve">,</w:t>
      </w:r>
      <w:r>
        <w:t xml:space="preserve"> </w:t>
      </w:r>
      <w:r>
        <w:rPr>
          <w:rStyle w:val="VerbatimChar"/>
        </w:rPr>
        <w:t xml:space="preserve">over</w:t>
      </w:r>
      <w:r>
        <w:t xml:space="preserve">,</w:t>
      </w:r>
      <w:r>
        <w:t xml:space="preserve"> </w:t>
      </w:r>
      <w:r>
        <w:rPr>
          <w:rStyle w:val="VerbatimChar"/>
        </w:rPr>
        <w:t xml:space="preserve">equal to</w:t>
      </w:r>
      <w:r>
        <w:t xml:space="preserve">,</w:t>
      </w:r>
      <w:r>
        <w:t xml:space="preserve"> </w:t>
      </w:r>
      <w:r>
        <w:rPr>
          <w:rStyle w:val="VerbatimChar"/>
        </w:rPr>
        <w:t xml:space="preserve">same as</w:t>
      </w:r>
      <w:r>
        <w:t xml:space="preserve"> </w:t>
      </w:r>
      <w:r>
        <w:t xml:space="preserve">and so on) so an import does not reject every file the field produces.</w:t>
      </w:r>
    </w:p>
    <w:bookmarkEnd w:id="28"/>
    <w:bookmarkEnd w:id="29"/>
    <w:bookmarkStart w:id="30" w:name="routes"/>
    <w:p>
      <w:pPr>
        <w:pStyle w:val="Heading2"/>
      </w:pPr>
      <w:r>
        <w:t xml:space="preserve">Routes</w:t>
      </w:r>
    </w:p>
    <w:p>
      <w:pPr>
        <w:pStyle w:val="FirstParagraph"/>
      </w:pPr>
      <w:r>
        <w:t xml:space="preserve">Registered by</w:t>
      </w:r>
      <w:r>
        <w:t xml:space="preserve"> </w:t>
      </w:r>
      <w:r>
        <w:rPr>
          <w:rStyle w:val="VerbatimChar"/>
        </w:rPr>
        <w:t xml:space="preserve">ahgArchaeologyPluginConfiguration</w:t>
      </w:r>
      <w:r>
        <w:t xml:space="preserve"> </w:t>
      </w:r>
      <w:r>
        <w:t xml:space="preserve">on</w:t>
      </w:r>
      <w:r>
        <w:t xml:space="preserve"> </w:t>
      </w:r>
      <w:r>
        <w:rPr>
          <w:rStyle w:val="VerbatimChar"/>
        </w:rPr>
        <w:t xml:space="preserve">routing.load_configuration</w:t>
      </w:r>
      <w:r>
        <w:t xml:space="preserve">. All numeric parameters are constrained to</w:t>
      </w:r>
      <w:r>
        <w:t xml:space="preserve"> </w:t>
      </w:r>
      <w:r>
        <w:rPr>
          <w:rStyle w:val="VerbatimChar"/>
        </w:rPr>
        <w:t xml:space="preserv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Route</w:t>
            </w:r>
          </w:p>
        </w:tc>
        <w:tc>
          <w:tcPr/>
          <w:p>
            <w:pPr>
              <w:pStyle w:val="Compact"/>
              <w:jc w:val="left"/>
            </w:pPr>
            <w:r>
              <w:t xml:space="preserve">Path</w:t>
            </w:r>
          </w:p>
        </w:tc>
      </w:tr>
      <w:tr>
        <w:tc>
          <w:tcPr/>
          <w:p>
            <w:pPr>
              <w:pStyle w:val="Compact"/>
              <w:jc w:val="left"/>
            </w:pPr>
            <w:r>
              <w:rPr>
                <w:rStyle w:val="VerbatimChar"/>
              </w:rPr>
              <w:t xml:space="preserve">archaeology_index</w:t>
            </w:r>
          </w:p>
        </w:tc>
        <w:tc>
          <w:tcPr/>
          <w:p>
            <w:pPr>
              <w:pStyle w:val="Compact"/>
              <w:jc w:val="left"/>
            </w:pPr>
            <w:r>
              <w:rPr>
                <w:rStyle w:val="VerbatimChar"/>
              </w:rPr>
              <w:t xml:space="preserve">/archaeology</w:t>
            </w:r>
          </w:p>
        </w:tc>
      </w:tr>
      <w:tr>
        <w:tc>
          <w:tcPr/>
          <w:p>
            <w:pPr>
              <w:pStyle w:val="Compact"/>
              <w:jc w:val="left"/>
            </w:pPr>
            <w:r>
              <w:rPr>
                <w:rStyle w:val="VerbatimChar"/>
              </w:rPr>
              <w:t xml:space="preserve">archaeology_sites</w:t>
            </w:r>
          </w:p>
        </w:tc>
        <w:tc>
          <w:tcPr/>
          <w:p>
            <w:pPr>
              <w:pStyle w:val="Compact"/>
              <w:jc w:val="left"/>
            </w:pPr>
            <w:r>
              <w:rPr>
                <w:rStyle w:val="VerbatimChar"/>
              </w:rPr>
              <w:t xml:space="preserve">/archaeology/sites</w:t>
            </w:r>
          </w:p>
        </w:tc>
      </w:tr>
      <w:tr>
        <w:tc>
          <w:tcPr/>
          <w:p>
            <w:pPr>
              <w:pStyle w:val="Compact"/>
              <w:jc w:val="left"/>
            </w:pPr>
            <w:r>
              <w:rPr>
                <w:rStyle w:val="VerbatimChar"/>
              </w:rPr>
              <w:t xml:space="preserve">archaeology_map</w:t>
            </w:r>
          </w:p>
        </w:tc>
        <w:tc>
          <w:tcPr/>
          <w:p>
            <w:pPr>
              <w:pStyle w:val="Compact"/>
              <w:jc w:val="left"/>
            </w:pPr>
            <w:r>
              <w:rPr>
                <w:rStyle w:val="VerbatimChar"/>
              </w:rPr>
              <w:t xml:space="preserve">/archaeology/map</w:t>
            </w:r>
          </w:p>
        </w:tc>
      </w:tr>
      <w:tr>
        <w:tc>
          <w:tcPr/>
          <w:p>
            <w:pPr>
              <w:pStyle w:val="Compact"/>
              <w:jc w:val="left"/>
            </w:pPr>
            <w:r>
              <w:rPr>
                <w:rStyle w:val="VerbatimChar"/>
              </w:rPr>
              <w:t xml:space="preserve">archaeology_site</w:t>
            </w:r>
          </w:p>
        </w:tc>
        <w:tc>
          <w:tcPr/>
          <w:p>
            <w:pPr>
              <w:pStyle w:val="Compact"/>
              <w:jc w:val="left"/>
            </w:pPr>
            <w:r>
              <w:rPr>
                <w:rStyle w:val="VerbatimChar"/>
              </w:rPr>
              <w:t xml:space="preserve">/archaeology/site/:id</w:t>
            </w:r>
          </w:p>
        </w:tc>
      </w:tr>
      <w:tr>
        <w:tc>
          <w:tcPr/>
          <w:p>
            <w:pPr>
              <w:pStyle w:val="Compact"/>
              <w:jc w:val="left"/>
            </w:pPr>
            <w:r>
              <w:rPr>
                <w:rStyle w:val="VerbatimChar"/>
              </w:rPr>
              <w:t xml:space="preserve">archaeology_contexts</w:t>
            </w:r>
          </w:p>
        </w:tc>
        <w:tc>
          <w:tcPr/>
          <w:p>
            <w:pPr>
              <w:pStyle w:val="Compact"/>
              <w:jc w:val="left"/>
            </w:pPr>
            <w:r>
              <w:rPr>
                <w:rStyle w:val="VerbatimChar"/>
              </w:rPr>
              <w:t xml:space="preserve">/archaeology/site/:siteId/contexts</w:t>
            </w:r>
          </w:p>
        </w:tc>
      </w:tr>
      <w:tr>
        <w:tc>
          <w:tcPr/>
          <w:p>
            <w:pPr>
              <w:pStyle w:val="Compact"/>
              <w:jc w:val="left"/>
            </w:pPr>
            <w:r>
              <w:rPr>
                <w:rStyle w:val="VerbatimChar"/>
              </w:rPr>
              <w:t xml:space="preserve">archaeology_plan</w:t>
            </w:r>
          </w:p>
        </w:tc>
        <w:tc>
          <w:tcPr/>
          <w:p>
            <w:pPr>
              <w:pStyle w:val="Compact"/>
              <w:jc w:val="left"/>
            </w:pPr>
            <w:r>
              <w:rPr>
                <w:rStyle w:val="VerbatimChar"/>
              </w:rPr>
              <w:t xml:space="preserve">/archaeology/site/:siteId/plan</w:t>
            </w:r>
          </w:p>
        </w:tc>
      </w:tr>
      <w:tr>
        <w:tc>
          <w:tcPr/>
          <w:p>
            <w:pPr>
              <w:pStyle w:val="Compact"/>
              <w:jc w:val="left"/>
            </w:pPr>
            <w:r>
              <w:rPr>
                <w:rStyle w:val="VerbatimChar"/>
              </w:rPr>
              <w:t xml:space="preserve">archaeology_export</w:t>
            </w:r>
          </w:p>
        </w:tc>
        <w:tc>
          <w:tcPr/>
          <w:p>
            <w:pPr>
              <w:pStyle w:val="Compact"/>
              <w:jc w:val="left"/>
            </w:pPr>
            <w:r>
              <w:rPr>
                <w:rStyle w:val="VerbatimChar"/>
              </w:rPr>
              <w:t xml:space="preserve">/archaeology/site/:siteId/export/:format</w:t>
            </w:r>
          </w:p>
        </w:tc>
      </w:tr>
      <w:tr>
        <w:tc>
          <w:tcPr/>
          <w:p>
            <w:pPr>
              <w:pStyle w:val="Compact"/>
              <w:jc w:val="left"/>
            </w:pPr>
            <w:r>
              <w:rPr>
                <w:rStyle w:val="VerbatimChar"/>
              </w:rPr>
              <w:t xml:space="preserve">archaeology_import</w:t>
            </w:r>
          </w:p>
        </w:tc>
        <w:tc>
          <w:tcPr/>
          <w:p>
            <w:pPr>
              <w:pStyle w:val="Compact"/>
              <w:jc w:val="left"/>
            </w:pPr>
            <w:r>
              <w:rPr>
                <w:rStyle w:val="VerbatimChar"/>
              </w:rPr>
              <w:t xml:space="preserve">/archaeology/site/:siteId/import</w:t>
            </w:r>
          </w:p>
        </w:tc>
      </w:tr>
      <w:tr>
        <w:tc>
          <w:tcPr/>
          <w:p>
            <w:pPr>
              <w:pStyle w:val="Compact"/>
              <w:jc w:val="left"/>
            </w:pPr>
            <w:r>
              <w:rPr>
                <w:rStyle w:val="VerbatimChar"/>
              </w:rPr>
              <w:t xml:space="preserve">archaeology_context</w:t>
            </w:r>
          </w:p>
        </w:tc>
        <w:tc>
          <w:tcPr/>
          <w:p>
            <w:pPr>
              <w:pStyle w:val="Compact"/>
              <w:jc w:val="left"/>
            </w:pPr>
            <w:r>
              <w:rPr>
                <w:rStyle w:val="VerbatimChar"/>
              </w:rPr>
              <w:t xml:space="preserve">/archaeology/context/:id</w:t>
            </w:r>
          </w:p>
        </w:tc>
      </w:tr>
      <w:tr>
        <w:tc>
          <w:tcPr/>
          <w:p>
            <w:pPr>
              <w:pStyle w:val="Compact"/>
              <w:jc w:val="left"/>
            </w:pPr>
            <w:r>
              <w:rPr>
                <w:rStyle w:val="VerbatimChar"/>
              </w:rPr>
              <w:t xml:space="preserve">archaeology_context_pdf</w:t>
            </w:r>
          </w:p>
        </w:tc>
        <w:tc>
          <w:tcPr/>
          <w:p>
            <w:pPr>
              <w:pStyle w:val="Compact"/>
              <w:jc w:val="left"/>
            </w:pPr>
            <w:r>
              <w:rPr>
                <w:rStyle w:val="VerbatimChar"/>
              </w:rPr>
              <w:t xml:space="preserve">/archaeology/context/:id/pdf</w:t>
            </w:r>
          </w:p>
        </w:tc>
      </w:tr>
      <w:tr>
        <w:tc>
          <w:tcPr/>
          <w:p>
            <w:pPr>
              <w:pStyle w:val="Compact"/>
              <w:jc w:val="left"/>
            </w:pPr>
            <w:r>
              <w:rPr>
                <w:rStyle w:val="VerbatimChar"/>
              </w:rPr>
              <w:t xml:space="preserve">archaeology_objects</w:t>
            </w:r>
          </w:p>
        </w:tc>
        <w:tc>
          <w:tcPr/>
          <w:p>
            <w:pPr>
              <w:pStyle w:val="Compact"/>
              <w:jc w:val="left"/>
            </w:pPr>
            <w:r>
              <w:rPr>
                <w:rStyle w:val="VerbatimChar"/>
              </w:rPr>
              <w:t xml:space="preserve">/archaeology/finds</w:t>
            </w:r>
          </w:p>
        </w:tc>
      </w:tr>
      <w:tr>
        <w:tc>
          <w:tcPr/>
          <w:p>
            <w:pPr>
              <w:pStyle w:val="Compact"/>
              <w:jc w:val="left"/>
            </w:pPr>
            <w:r>
              <w:rPr>
                <w:rStyle w:val="VerbatimChar"/>
              </w:rPr>
              <w:t xml:space="preserve">archaeology_object</w:t>
            </w:r>
          </w:p>
        </w:tc>
        <w:tc>
          <w:tcPr/>
          <w:p>
            <w:pPr>
              <w:pStyle w:val="Compact"/>
              <w:jc w:val="left"/>
            </w:pPr>
            <w:r>
              <w:rPr>
                <w:rStyle w:val="VerbatimChar"/>
              </w:rPr>
              <w:t xml:space="preserve">/archaeology/find/:id</w:t>
            </w:r>
          </w:p>
        </w:tc>
      </w:tr>
    </w:tbl>
    <w:bookmarkEnd w:id="30"/>
    <w:bookmarkStart w:id="31" w:name="security"/>
    <w:p>
      <w:pPr>
        <w:pStyle w:val="Heading2"/>
      </w:pPr>
      <w:r>
        <w:t xml:space="preserve">Security</w:t>
      </w:r>
    </w:p>
    <w:p>
      <w:pPr>
        <w:pStyle w:val="FirstParagraph"/>
      </w:pPr>
      <w:r>
        <w:rPr>
          <w:rStyle w:val="VerbatimChar"/>
        </w:rPr>
        <w:t xml:space="preserve">modules/archaeology/config/security.yml</w:t>
      </w:r>
      <w:r>
        <w:t xml:space="preserve"> </w:t>
      </w:r>
      <w:r>
        <w:t xml:space="preserve">secures every action. A missing file inherits</w:t>
      </w:r>
      <w:r>
        <w:t xml:space="preserve"> </w:t>
      </w:r>
      <w:r>
        <w:rPr>
          <w:rStyle w:val="VerbatimChar"/>
        </w:rPr>
        <w:t xml:space="preserve">default: is_secure: false</w:t>
      </w:r>
      <w:r>
        <w:t xml:space="preserve"> </w:t>
      </w:r>
      <w:r>
        <w:t xml:space="preserve">from the application configuration and</w:t>
      </w:r>
      <w:r>
        <w:t xml:space="preserve"> </w:t>
      </w:r>
      <w:r>
        <w:rPr>
          <w:bCs/>
          <w:b/>
        </w:rPr>
        <w:t xml:space="preserve">fails open</w:t>
      </w:r>
      <w:r>
        <w:t xml:space="preserve">, so the file must exist. Reading requires</w:t>
      </w:r>
      <w:r>
        <w:t xml:space="preserve"> </w:t>
      </w:r>
      <w:r>
        <w:rPr>
          <w:rStyle w:val="VerbatimChar"/>
        </w:rPr>
        <w:t xml:space="preserve">contributor</w:t>
      </w:r>
      <w:r>
        <w:t xml:space="preserve">,</w:t>
      </w:r>
      <w:r>
        <w:t xml:space="preserve"> </w:t>
      </w:r>
      <w:r>
        <w:rPr>
          <w:rStyle w:val="VerbatimChar"/>
        </w:rPr>
        <w:t xml:space="preserve">editor</w:t>
      </w:r>
      <w:r>
        <w:t xml:space="preserve"> </w:t>
      </w:r>
      <w:r>
        <w:t xml:space="preserve">or</w:t>
      </w:r>
      <w:r>
        <w:t xml:space="preserve"> </w:t>
      </w:r>
      <w:r>
        <w:rPr>
          <w:rStyle w:val="VerbatimChar"/>
        </w:rPr>
        <w:t xml:space="preserve">administrator</w:t>
      </w:r>
      <w:r>
        <w:t xml:space="preserve">; writing requires</w:t>
      </w:r>
      <w:r>
        <w:t xml:space="preserve"> </w:t>
      </w:r>
      <w:r>
        <w:rPr>
          <w:rStyle w:val="VerbatimChar"/>
        </w:rPr>
        <w:t xml:space="preserve">editor</w:t>
      </w:r>
      <w:r>
        <w:t xml:space="preserve"> </w:t>
      </w:r>
      <w:r>
        <w:t xml:space="preserve">or</w:t>
      </w:r>
      <w:r>
        <w:t xml:space="preserve"> </w:t>
      </w:r>
      <w:r>
        <w:rPr>
          <w:rStyle w:val="VerbatimChar"/>
        </w:rPr>
        <w:t xml:space="preserve">administrator</w:t>
      </w:r>
      <w:r>
        <w:t xml:space="preserve">. An</w:t>
      </w:r>
      <w:r>
        <w:t xml:space="preserve"> </w:t>
      </w:r>
      <w:r>
        <w:rPr>
          <w:rStyle w:val="VerbatimChar"/>
        </w:rPr>
        <w:t xml:space="preserve">all:</w:t>
      </w:r>
      <w:r>
        <w:t xml:space="preserve"> </w:t>
      </w:r>
      <w:r>
        <w:t xml:space="preserve">fallback secures any action not named individually, so a new action is private by default.</w:t>
      </w:r>
    </w:p>
    <w:p>
      <w:pPr>
        <w:pStyle w:val="BodyText"/>
      </w:pPr>
      <w:r>
        <w:t xml:space="preserve">Nothing is public. Site coordinates and unpublished excavation records should not be browsable anonymously, and a context record can identify the position of a burial.</w:t>
      </w:r>
    </w:p>
    <w:bookmarkEnd w:id="31"/>
    <w:bookmarkStart w:id="32" w:name="standards-and-conventions"/>
    <w:p>
      <w:pPr>
        <w:pStyle w:val="Heading2"/>
      </w:pPr>
      <w:r>
        <w:t xml:space="preserve">Standards and conventions</w:t>
      </w:r>
    </w:p>
    <w:p>
      <w:pPr>
        <w:numPr>
          <w:ilvl w:val="0"/>
          <w:numId w:val="1004"/>
        </w:numPr>
        <w:pStyle w:val="Compact"/>
      </w:pPr>
      <w:r>
        <w:t xml:space="preserve">Laravel Query Builder throughout; no raw PDO</w:t>
      </w:r>
    </w:p>
    <w:p>
      <w:pPr>
        <w:numPr>
          <w:ilvl w:val="0"/>
          <w:numId w:val="1004"/>
        </w:numPr>
        <w:pStyle w:val="Compact"/>
      </w:pPr>
      <w:r>
        <w:t xml:space="preserve">Vocabularies matched by taxonomy name rather than hardcoded id, so an instance can rename or extend them</w:t>
      </w:r>
    </w:p>
    <w:p>
      <w:pPr>
        <w:numPr>
          <w:ilvl w:val="0"/>
          <w:numId w:val="1004"/>
        </w:numPr>
        <w:pStyle w:val="Compact"/>
      </w:pPr>
      <w:r>
        <w:rPr>
          <w:rStyle w:val="VerbatimChar"/>
        </w:rPr>
        <w:t xml:space="preserve">AhgDb::hasOptionalTable()</w:t>
      </w:r>
      <w:r>
        <w:t xml:space="preserve"> </w:t>
      </w:r>
      <w:r>
        <w:t xml:space="preserve">guards every optional-table read, so an instance without the schema degrades rather than erroring</w:t>
      </w:r>
    </w:p>
    <w:p>
      <w:pPr>
        <w:numPr>
          <w:ilvl w:val="0"/>
          <w:numId w:val="1004"/>
        </w:numPr>
        <w:pStyle w:val="Compact"/>
      </w:pPr>
      <w:r>
        <w:t xml:space="preserve">No inline</w:t>
      </w:r>
      <w:r>
        <w:t xml:space="preserve"> </w:t>
      </w:r>
      <w:r>
        <w:rPr>
          <w:rStyle w:val="VerbatimChar"/>
        </w:rPr>
        <w:t xml:space="preserve">style</w:t>
      </w:r>
      <w:r>
        <w:t xml:space="preserve"> </w:t>
      </w:r>
      <w:r>
        <w:t xml:space="preserve">attributes: CSP nonces cover</w:t>
      </w:r>
      <w:r>
        <w:t xml:space="preserve"> </w:t>
      </w:r>
      <w:r>
        <w:rPr>
          <w:rStyle w:val="VerbatimChar"/>
        </w:rPr>
        <w:t xml:space="preserve">&lt;style&gt;</w:t>
      </w:r>
      <w:r>
        <w:t xml:space="preserve"> </w:t>
      </w:r>
      <w:r>
        <w:t xml:space="preserve">elements, never style attributes</w:t>
      </w:r>
    </w:p>
    <w:p>
      <w:pPr>
        <w:numPr>
          <w:ilvl w:val="0"/>
          <w:numId w:val="1004"/>
        </w:numPr>
        <w:pStyle w:val="Compact"/>
      </w:pPr>
      <w:r>
        <w:t xml:space="preserve">Output escaping unwrapped once per template before array functions, since Symfony hands templates a decorator rather than an array</w:t>
      </w:r>
    </w:p>
    <w:bookmarkEnd w:id="32"/>
    <w:bookmarkEnd w:id="33"/>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2026-08-24T07:33:54Z</dcterms:created>
  <dcterms:modified xsi:type="dcterms:W3CDTF">2026-08-24T07:33:54Z</dcterms:modified>
</cp:coreProperties>
</file>

<file path=docProps/custom.xml><?xml version="1.0" encoding="utf-8"?>
<Properties xmlns="http://schemas.openxmlformats.org/officeDocument/2006/custom-properties" xmlns:vt="http://schemas.openxmlformats.org/officeDocument/2006/docPropsVTypes"/>
</file>