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footer2.xml" ContentType="application/vnd.openxmlformats-officedocument.wordprocessingml.footer+xml"/>
  <Override PartName="/word/media/rId21.png" ContentType="image/png"/>
  <Override PartName="/word/media/rId24.png" ContentType="image/png"/>
  <Override PartName="/word/media/rId28.png" ContentType="image/png"/>
  <Override PartName="/word/media/rId31.png" ContentType="image/png"/>
  <Override PartName="/word/media/rId35.png" ContentType="image/png"/>
  <Override PartName="/word/media/rId38.png" ContentType="image/png"/>
  <Override PartName="/word/media/rId42.png" ContentType="image/png"/>
  <Override PartName="/word/media/rId45.png" ContentType="image/png"/>
  <Override PartName="/word/media/rId49.png" ContentType="image/png"/>
  <Override PartName="/word/media/rId52.png" ContentType="image/png"/>
  <Override PartName="/word/media/rId56.png" ContentType="image/pn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Training:</w:t>
      </w:r>
      <w:r>
        <w:t xml:space="preserve"> </w:t>
      </w:r>
      <w:r>
        <w:t xml:space="preserve">Museum,</w:t>
      </w:r>
      <w:r>
        <w:t xml:space="preserve"> </w:t>
      </w:r>
      <w:r>
        <w:t xml:space="preserve">Part</w:t>
      </w:r>
      <w:r>
        <w:t xml:space="preserve"> </w:t>
      </w:r>
      <w:r>
        <w:t xml:space="preserve">6</w:t>
      </w:r>
      <w:r>
        <w:t xml:space="preserve"> </w:t>
      </w:r>
      <w:r>
        <w:t xml:space="preserve">-</w:t>
      </w:r>
      <w:r>
        <w:t xml:space="preserve"> </w:t>
      </w:r>
      <w:r>
        <w:t xml:space="preserve">Heritage</w:t>
      </w:r>
      <w:r>
        <w:t xml:space="preserve"> </w:t>
      </w:r>
      <w:r>
        <w:t xml:space="preserve">Accounting</w:t>
      </w:r>
    </w:p>
    <w:p>
      <w:pPr>
        <w:pStyle w:val="Subtitle"/>
      </w:pPr>
      <w:r>
        <w:t xml:space="preserve">Step-by-step</w:t>
      </w:r>
      <w:r>
        <w:t xml:space="preserve"> </w:t>
      </w:r>
      <w:r>
        <w:t xml:space="preserve">guide</w:t>
      </w:r>
      <w:r>
        <w:t xml:space="preserve"> </w:t>
      </w:r>
      <w:r>
        <w:t xml:space="preserve">to</w:t>
      </w:r>
      <w:r>
        <w:t xml:space="preserve"> </w:t>
      </w:r>
      <w:r>
        <w:t xml:space="preserve">recognising</w:t>
      </w:r>
      <w:r>
        <w:t xml:space="preserve"> </w:t>
      </w:r>
      <w:r>
        <w:t xml:space="preserve">a</w:t>
      </w:r>
      <w:r>
        <w:t xml:space="preserve"> </w:t>
      </w:r>
      <w:r>
        <w:t xml:space="preserve">heritage</w:t>
      </w:r>
      <w:r>
        <w:t xml:space="preserve"> </w:t>
      </w:r>
      <w:r>
        <w:t xml:space="preserve">asset</w:t>
      </w:r>
      <w:r>
        <w:t xml:space="preserve"> </w:t>
      </w:r>
      <w:r>
        <w:t xml:space="preserve">under</w:t>
      </w:r>
      <w:r>
        <w:t xml:space="preserve"> </w:t>
      </w:r>
      <w:r>
        <w:t xml:space="preserve">GRAP</w:t>
      </w:r>
      <w:r>
        <w:t xml:space="preserve"> </w:t>
      </w:r>
      <w:r>
        <w:t xml:space="preserve">103,</w:t>
      </w:r>
      <w:r>
        <w:t xml:space="preserve"> </w:t>
      </w:r>
      <w:r>
        <w:t xml:space="preserve">recording</w:t>
      </w:r>
      <w:r>
        <w:t xml:space="preserve"> </w:t>
      </w:r>
      <w:r>
        <w:t xml:space="preserve">revaluations</w:t>
      </w:r>
      <w:r>
        <w:t xml:space="preserve"> </w:t>
      </w:r>
      <w:r>
        <w:t xml:space="preserve">and</w:t>
      </w:r>
      <w:r>
        <w:t xml:space="preserve"> </w:t>
      </w:r>
      <w:r>
        <w:t xml:space="preserve">impairments,</w:t>
      </w:r>
      <w:r>
        <w:t xml:space="preserve"> </w:t>
      </w:r>
      <w:r>
        <w:t xml:space="preserve">checking</w:t>
      </w:r>
      <w:r>
        <w:t xml:space="preserve"> </w:t>
      </w:r>
      <w:r>
        <w:t xml:space="preserve">compliance,</w:t>
      </w:r>
      <w:r>
        <w:t xml:space="preserve"> </w:t>
      </w:r>
      <w:r>
        <w:t xml:space="preserve">and</w:t>
      </w:r>
      <w:r>
        <w:t xml:space="preserve"> </w:t>
      </w:r>
      <w:r>
        <w:t xml:space="preserve">producing</w:t>
      </w:r>
      <w:r>
        <w:t xml:space="preserve"> </w:t>
      </w:r>
      <w:r>
        <w:t xml:space="preserve">the</w:t>
      </w:r>
      <w:r>
        <w:t xml:space="preserve"> </w:t>
      </w:r>
      <w:r>
        <w:t xml:space="preserve">asset</w:t>
      </w:r>
      <w:r>
        <w:t xml:space="preserve"> </w:t>
      </w:r>
      <w:r>
        <w:t xml:space="preserve">register</w:t>
      </w:r>
      <w:r>
        <w:t xml:space="preserve"> </w:t>
      </w:r>
      <w:r>
        <w:t xml:space="preserve">and</w:t>
      </w:r>
      <w:r>
        <w:t xml:space="preserve"> </w:t>
      </w:r>
      <w:r>
        <w:t xml:space="preserve">National</w:t>
      </w:r>
      <w:r>
        <w:t xml:space="preserve"> </w:t>
      </w:r>
      <w:r>
        <w:t xml:space="preserve">Treasury</w:t>
      </w:r>
      <w:r>
        <w:t xml:space="preserve"> </w:t>
      </w:r>
      <w:r>
        <w:t xml:space="preserve">report</w:t>
      </w:r>
    </w:p>
    <w:p>
      <w:pPr>
        <w:pStyle w:val="Author"/>
      </w:pPr>
      <w:r>
        <w:t xml:space="preserve">Dr</w:t>
      </w:r>
      <w:r>
        <w:t xml:space="preserve"> </w:t>
      </w:r>
      <w:r>
        <w:t xml:space="preserve">Johan</w:t>
      </w:r>
      <w:r>
        <w:t xml:space="preserve"> </w:t>
      </w:r>
      <w:r>
        <w:t xml:space="preserve">Pieterse</w:t>
      </w:r>
    </w:p>
    <w:p>
      <w:pPr>
        <w:pStyle w:val="TableCaption"/>
      </w:pPr>
      <w:r>
        <w:t xml:space="preserve">Document control</w:t>
      </w:r>
    </w:p>
    <w:tbl>
      <w:tblPr>
        <w:tblStyle w:val="Table"/>
        <w:tblW w:type="pct" w:w="5000"/>
        <w:tblLook w:firstRow="1" w:lastRow="0" w:firstColumn="0" w:lastColumn="0" w:noHBand="0" w:noVBand="0" w:val="0020"/>
        <w:jc w:val="start"/>
        <w:tblCaption w:val="Document control"/>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title</w:t>
            </w:r>
          </w:p>
        </w:tc>
        <w:tc>
          <w:tcPr/>
          <w:p>
            <w:pPr>
              <w:pStyle w:val="Compact"/>
              <w:jc w:val="left"/>
            </w:pPr>
            <w:r>
              <w:t xml:space="preserve">Training: Museum, Part 6 - Heritage Accounting</w:t>
            </w:r>
          </w:p>
        </w:tc>
      </w:tr>
      <w:tr>
        <w:tc>
          <w:tcPr/>
          <w:p>
            <w:pPr>
              <w:pStyle w:val="Compact"/>
              <w:jc w:val="left"/>
            </w:pPr>
            <w:r>
              <w:t xml:space="preserve">Author</w:t>
            </w:r>
          </w:p>
        </w:tc>
        <w:tc>
          <w:tcPr/>
          <w:p>
            <w:pPr>
              <w:pStyle w:val="Compact"/>
              <w:jc w:val="left"/>
            </w:pPr>
            <w:r>
              <w:t xml:space="preserve">Dr Johan Pieterse</w:t>
            </w:r>
          </w:p>
        </w:tc>
      </w:tr>
      <w:tr>
        <w:tc>
          <w:tcPr/>
          <w:p>
            <w:pPr>
              <w:pStyle w:val="Compact"/>
              <w:jc w:val="left"/>
            </w:pPr>
            <w:r>
              <w:t xml:space="preserve">Owner</w:t>
            </w:r>
          </w:p>
        </w:tc>
        <w:tc>
          <w:tcPr/>
          <w:p>
            <w:pPr>
              <w:pStyle w:val="Compact"/>
              <w:jc w:val="left"/>
            </w:pPr>
            <w:r>
              <w:t xml:space="preserve">The Archive and Heritage Group (Pty) Ltd</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Status</w:t>
            </w:r>
          </w:p>
        </w:tc>
        <w:tc>
          <w:tcPr/>
          <w:p>
            <w:pPr>
              <w:pStyle w:val="Compact"/>
              <w:jc w:val="left"/>
            </w:pPr>
            <w:r>
              <w:t xml:space="preserve">Released</w:t>
            </w:r>
          </w:p>
        </w:tc>
      </w:tr>
      <w:tr>
        <w:tc>
          <w:tcPr/>
          <w:p>
            <w:pPr>
              <w:pStyle w:val="Compact"/>
              <w:jc w:val="left"/>
            </w:pPr>
            <w:r>
              <w:t xml:space="preserve">Date</w:t>
            </w:r>
          </w:p>
        </w:tc>
        <w:tc>
          <w:tcPr/>
          <w:p>
            <w:pPr>
              <w:pStyle w:val="Compact"/>
              <w:jc w:val="left"/>
            </w:pPr>
            <w:r>
              <w:t xml:space="preserve">14 October 2026</w:t>
            </w:r>
          </w:p>
        </w:tc>
      </w:tr>
      <w:tr>
        <w:tc>
          <w:tcPr/>
          <w:p>
            <w:pPr>
              <w:pStyle w:val="Compact"/>
              <w:jc w:val="left"/>
            </w:pPr>
            <w:r>
              <w:t xml:space="preserve">Prepared for</w:t>
            </w:r>
          </w:p>
        </w:tc>
        <w:tc>
          <w:tcPr/>
          <w:p>
            <w:pPr>
              <w:pStyle w:val="Compact"/>
              <w:jc w:val="left"/>
            </w:pPr>
            <w:r>
              <w:t xml:space="preserve">Finance officers, registrars and curators using the AHG extensions</w:t>
            </w:r>
          </w:p>
        </w:tc>
      </w:tr>
      <w:tr>
        <w:tc>
          <w:tcPr/>
          <w:p>
            <w:pPr>
              <w:pStyle w:val="Compact"/>
              <w:jc w:val="left"/>
            </w:pPr>
            <w:r>
              <w:t xml:space="preserve">Classification</w:t>
            </w:r>
          </w:p>
        </w:tc>
        <w:tc>
          <w:tcPr/>
          <w:p>
            <w:pPr>
              <w:pStyle w:val="Compact"/>
              <w:jc w:val="left"/>
            </w:pPr>
            <w:r>
              <w:t xml:space="preserve">Public</w:t>
            </w:r>
          </w:p>
        </w:tc>
      </w:tr>
      <w:tr>
        <w:tc>
          <w:tcPr/>
          <w:p>
            <w:pPr>
              <w:pStyle w:val="Compact"/>
              <w:jc w:val="left"/>
            </w:pPr>
            <w:r>
              <w:t xml:space="preserve">Reference</w:t>
            </w:r>
          </w:p>
        </w:tc>
        <w:tc>
          <w:tcPr/>
          <w:p>
            <w:pPr>
              <w:pStyle w:val="Compact"/>
              <w:jc w:val="left"/>
            </w:pPr>
            <w:r>
              <w:t xml:space="preserve">AHG-TRN-MUS-06</w:t>
            </w:r>
          </w:p>
        </w:tc>
      </w:tr>
    </w:tbl>
    <w:p>
      <w:pPr>
        <w:pStyle w:val="TOCHeading"/>
      </w:pPr>
      <w:r>
        <w:t xml:space="preserve">Contents</w:t>
      </w:r>
    </w:p>
    <w:p>
      <w:r>
        <w:fldChar w:fldCharType="begin" w:dirty="true"/>
      </w:r>
      <w:r>
        <w:instrText xml:space="preserve"> TOC \o "1-3" \h \z \u </w:instrText>
      </w:r>
      <w:r>
        <w:fldChar w:fldCharType="separate"/>
      </w:r>
      <w:r>
        <w:t>Right-click and choose Update Field to build this list.</w:t>
      </w:r>
      <w:r>
        <w:fldChar w:fldCharType="end"/>
      </w:r>
    </w:p>
    <w:p>
      <w:pPr>
        <w:pStyle w:val="TOCHeading"/>
      </w:pPr>
      <w:r>
        <w:t xml:space="preserve">List of Tables</w:t>
      </w:r>
    </w:p>
    <w:p>
      <w:r>
        <w:fldChar w:fldCharType="begin" w:dirty="true"/>
      </w:r>
      <w:r>
        <w:instrText xml:space="preserve"> TOC \h \z \t "Table Caption,1" </w:instrText>
      </w:r>
      <w:r>
        <w:fldChar w:fldCharType="separate"/>
      </w:r>
      <w:r>
        <w:t>Right-click and choose Update Field to build this list.</w:t>
      </w:r>
      <w:r>
        <w:fldChar w:fldCharType="end"/>
      </w:r>
    </w:p>
    <w:p>
      <w:pPr>
        <w:pStyle w:val="BodyText"/>
      </w:pPr>
      <w:r>
        <w:t xml:space="preserve">This guide goes with part 6, the last part of the museum training videos. You recognise the painting from part 1 as a heritage asset under GRAP 103, revalue it, record an impairment, check the record against the standard, and produce the reports that auditors and National Treasury ask for. Allow about 20 minutes.</w:t>
      </w:r>
    </w:p>
    <w:bookmarkStart w:id="20" w:name="before-you-start"/>
    <w:p>
      <w:pPr>
        <w:pStyle w:val="Heading2"/>
      </w:pPr>
      <w:r>
        <w:t xml:space="preserve">Before you start</w:t>
      </w:r>
    </w:p>
    <w:p>
      <w:pPr>
        <w:pStyle w:val="TableCaption"/>
      </w:pPr>
      <w:r>
        <w:t xml:space="preserve">What you need before you start</w:t>
      </w:r>
    </w:p>
    <w:tbl>
      <w:tblPr>
        <w:tblStyle w:val="Table"/>
        <w:tblW w:type="pct" w:w="5000"/>
        <w:tblLook w:firstRow="1" w:lastRow="0" w:firstColumn="0" w:lastColumn="0" w:noHBand="0" w:noVBand="0" w:val="0020"/>
        <w:jc w:val="start"/>
        <w:tblCaption w:val="What you need before you start"/>
      </w:tblPr>
      <w:tblGrid>
        <w:gridCol w:w="3960"/>
        <w:gridCol w:w="3960"/>
      </w:tblGrid>
      <w:tr>
        <w:trPr>
          <w:tblHeader w:val="true"/>
        </w:trPr>
        <w:tc>
          <w:tcPr/>
          <w:p>
            <w:pPr>
              <w:pStyle w:val="Compact"/>
              <w:jc w:val="left"/>
            </w:pPr>
            <w:r>
              <w:t xml:space="preserve">What</w:t>
            </w:r>
          </w:p>
        </w:tc>
        <w:tc>
          <w:tcPr/>
          <w:p>
            <w:pPr>
              <w:pStyle w:val="Compact"/>
              <w:jc w:val="left"/>
            </w:pPr>
            <w:r>
              <w:t xml:space="preserve">Notes</w:t>
            </w:r>
          </w:p>
        </w:tc>
      </w:tr>
      <w:tr>
        <w:tc>
          <w:tcPr/>
          <w:p>
            <w:pPr>
              <w:pStyle w:val="Compact"/>
              <w:jc w:val="left"/>
            </w:pPr>
            <w:r>
              <w:t xml:space="preserve">An administrator account</w:t>
            </w:r>
          </w:p>
        </w:tc>
        <w:tc>
          <w:tcPr/>
          <w:p>
            <w:pPr>
              <w:pStyle w:val="Compact"/>
              <w:jc w:val="left"/>
            </w:pPr>
            <w:r>
              <w:t xml:space="preserve">Heritage accounting is a staff function.</w:t>
            </w:r>
          </w:p>
        </w:tc>
      </w:tr>
      <w:tr>
        <w:tc>
          <w:tcPr/>
          <w:p>
            <w:pPr>
              <w:pStyle w:val="Compact"/>
              <w:jc w:val="left"/>
            </w:pPr>
            <w:r>
              <w:t xml:space="preserve">A museum object</w:t>
            </w:r>
          </w:p>
        </w:tc>
        <w:tc>
          <w:tcPr/>
          <w:p>
            <w:pPr>
              <w:pStyle w:val="Compact"/>
              <w:jc w:val="left"/>
            </w:pPr>
            <w:r>
              <w:t xml:space="preserve">The painting from part 1.</w:t>
            </w:r>
          </w:p>
        </w:tc>
      </w:tr>
      <w:tr>
        <w:tc>
          <w:tcPr/>
          <w:p>
            <w:pPr>
              <w:pStyle w:val="Compact"/>
              <w:jc w:val="left"/>
            </w:pPr>
            <w:r>
              <w:t xml:space="preserve">Fictitious figures</w:t>
            </w:r>
          </w:p>
        </w:tc>
        <w:tc>
          <w:tcPr/>
          <w:p>
            <w:pPr>
              <w:pStyle w:val="Compact"/>
              <w:jc w:val="left"/>
            </w:pPr>
            <w:r>
              <w:t xml:space="preserve">The values, the valuer and the damage in this guide are made up for the practice.</w:t>
            </w:r>
          </w:p>
        </w:tc>
      </w:tr>
    </w:tbl>
    <w:bookmarkEnd w:id="20"/>
    <w:bookmarkStart w:id="27" w:name="recognise-the-asset"/>
    <w:p>
      <w:pPr>
        <w:pStyle w:val="Heading2"/>
      </w:pPr>
      <w:r>
        <w:t xml:space="preserve">1. Recognise the asset</w:t>
      </w:r>
    </w:p>
    <w:p>
      <w:pPr>
        <w:pStyle w:val="FirstParagraph"/>
      </w:pPr>
      <w:r>
        <w:t xml:space="preserve">On the object, under</w:t>
      </w:r>
      <w:r>
        <w:t xml:space="preserve"> </w:t>
      </w:r>
      <w:r>
        <w:rPr>
          <w:bCs/>
          <w:b/>
        </w:rPr>
        <w:t xml:space="preserve">Collections Management</w:t>
      </w:r>
      <w:r>
        <w:t xml:space="preserve">, open</w:t>
      </w:r>
      <w:r>
        <w:t xml:space="preserve"> </w:t>
      </w:r>
      <w:r>
        <w:rPr>
          <w:bCs/>
          <w:b/>
        </w:rPr>
        <w:t xml:space="preserve">Heritage Accounting</w:t>
      </w:r>
      <w:r>
        <w:t xml:space="preserve"> </w:t>
      </w:r>
      <w:r>
        <w:t xml:space="preserve">and click</w:t>
      </w:r>
      <w:r>
        <w:t xml:space="preserve"> </w:t>
      </w:r>
      <w:r>
        <w:rPr>
          <w:bCs/>
          <w:b/>
        </w:rPr>
        <w:t xml:space="preserve">Create Heritage Asset Record</w:t>
      </w:r>
      <w:r>
        <w:t xml:space="preserve">. The form opens already linked to the object.</w:t>
      </w:r>
    </w:p>
    <w:p>
      <w:pPr>
        <w:pStyle w:val="TableCaption"/>
      </w:pPr>
      <w:r>
        <w:t xml:space="preserve">Recognising the painting</w:t>
      </w:r>
    </w:p>
    <w:tbl>
      <w:tblPr>
        <w:tblStyle w:val="Table"/>
        <w:tblW w:type="pct" w:w="5000"/>
        <w:tblLook w:firstRow="1" w:lastRow="0" w:firstColumn="0" w:lastColumn="0" w:noHBand="0" w:noVBand="0" w:val="0020"/>
        <w:jc w:val="start"/>
        <w:tblCaption w:val="Recognising the painting"/>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Example</w:t>
            </w:r>
          </w:p>
        </w:tc>
        <w:tc>
          <w:tcPr/>
          <w:p>
            <w:pPr>
              <w:pStyle w:val="Compact"/>
              <w:jc w:val="left"/>
            </w:pPr>
            <w:r>
              <w:t xml:space="preserve">Notes</w:t>
            </w:r>
          </w:p>
        </w:tc>
      </w:tr>
      <w:tr>
        <w:tc>
          <w:tcPr/>
          <w:p>
            <w:pPr>
              <w:pStyle w:val="Compact"/>
              <w:jc w:val="left"/>
            </w:pPr>
            <w:r>
              <w:t xml:space="preserve">Accounting standard</w:t>
            </w:r>
          </w:p>
        </w:tc>
        <w:tc>
          <w:tcPr/>
          <w:p>
            <w:pPr>
              <w:pStyle w:val="Compact"/>
              <w:jc w:val="left"/>
            </w:pPr>
            <w:r>
              <w:t xml:space="preserve">GRAP 103 Heritage Assets</w:t>
            </w:r>
          </w:p>
        </w:tc>
        <w:tc>
          <w:tcPr/>
          <w:p>
            <w:pPr>
              <w:pStyle w:val="Compact"/>
              <w:jc w:val="left"/>
            </w:pPr>
            <w:r>
              <w:t xml:space="preserve">IPSAS 45, IAS 16, FRS 102, GASB 34 and others are available</w:t>
            </w:r>
          </w:p>
        </w:tc>
      </w:tr>
      <w:tr>
        <w:tc>
          <w:tcPr/>
          <w:p>
            <w:pPr>
              <w:pStyle w:val="Compact"/>
              <w:jc w:val="left"/>
            </w:pPr>
            <w:r>
              <w:t xml:space="preserve">Asset class</w:t>
            </w:r>
          </w:p>
        </w:tc>
        <w:tc>
          <w:tcPr/>
          <w:p>
            <w:pPr>
              <w:pStyle w:val="Compact"/>
              <w:jc w:val="left"/>
            </w:pPr>
            <w:r>
              <w:t xml:space="preserve">Works of Art</w:t>
            </w:r>
          </w:p>
        </w:tc>
        <w:tc>
          <w:tcPr/>
          <w:p>
            <w:pPr>
              <w:pStyle w:val="Compact"/>
            </w:pPr>
          </w:p>
        </w:tc>
      </w:tr>
      <w:tr>
        <w:tc>
          <w:tcPr/>
          <w:p>
            <w:pPr>
              <w:pStyle w:val="Compact"/>
              <w:jc w:val="left"/>
            </w:pPr>
            <w:r>
              <w:t xml:space="preserve">Recognition status and date</w:t>
            </w:r>
          </w:p>
        </w:tc>
        <w:tc>
          <w:tcPr/>
          <w:p>
            <w:pPr>
              <w:pStyle w:val="Compact"/>
              <w:jc w:val="left"/>
            </w:pPr>
            <w:r>
              <w:t xml:space="preserve">Recognised, 12 October 2026</w:t>
            </w:r>
          </w:p>
        </w:tc>
        <w:tc>
          <w:tcPr/>
          <w:p>
            <w:pPr>
              <w:pStyle w:val="Compact"/>
            </w:pPr>
          </w:p>
        </w:tc>
      </w:tr>
      <w:tr>
        <w:tc>
          <w:tcPr/>
          <w:p>
            <w:pPr>
              <w:pStyle w:val="Compact"/>
              <w:jc w:val="left"/>
            </w:pPr>
            <w:r>
              <w:t xml:space="preserve">Measurement basis</w:t>
            </w:r>
          </w:p>
        </w:tc>
        <w:tc>
          <w:tcPr/>
          <w:p>
            <w:pPr>
              <w:pStyle w:val="Compact"/>
              <w:jc w:val="left"/>
            </w:pPr>
            <w:r>
              <w:t xml:space="preserve">Fair value</w:t>
            </w:r>
          </w:p>
        </w:tc>
        <w:tc>
          <w:tcPr/>
          <w:p>
            <w:pPr>
              <w:pStyle w:val="Compact"/>
              <w:jc w:val="left"/>
            </w:pPr>
            <w:r>
              <w:t xml:space="preserve">Cost, fair value, nominal, or not practicable</w:t>
            </w:r>
          </w:p>
        </w:tc>
      </w:tr>
      <w:tr>
        <w:tc>
          <w:tcPr/>
          <w:p>
            <w:pPr>
              <w:pStyle w:val="Compact"/>
              <w:jc w:val="left"/>
            </w:pPr>
            <w:r>
              <w:t xml:space="preserve">Acquisition method and date</w:t>
            </w:r>
          </w:p>
        </w:tc>
        <w:tc>
          <w:tcPr/>
          <w:p>
            <w:pPr>
              <w:pStyle w:val="Compact"/>
              <w:jc w:val="left"/>
            </w:pPr>
            <w:r>
              <w:t xml:space="preserve">Donation, 12 October 2026</w:t>
            </w:r>
          </w:p>
        </w:tc>
        <w:tc>
          <w:tcPr/>
          <w:p>
            <w:pPr>
              <w:pStyle w:val="Compact"/>
            </w:pPr>
          </w:p>
        </w:tc>
      </w:tr>
      <w:tr>
        <w:tc>
          <w:tcPr/>
          <w:p>
            <w:pPr>
              <w:pStyle w:val="Compact"/>
              <w:jc w:val="left"/>
            </w:pPr>
            <w:r>
              <w:t xml:space="preserve">Fair value at acquisition</w:t>
            </w:r>
          </w:p>
        </w:tc>
        <w:tc>
          <w:tcPr/>
          <w:p>
            <w:pPr>
              <w:pStyle w:val="Compact"/>
              <w:jc w:val="left"/>
            </w:pPr>
            <w:r>
              <w:t xml:space="preserve">85,000</w:t>
            </w:r>
          </w:p>
        </w:tc>
        <w:tc>
          <w:tcPr/>
          <w:p>
            <w:pPr>
              <w:pStyle w:val="Compact"/>
            </w:pPr>
          </w:p>
        </w:tc>
      </w:tr>
      <w:tr>
        <w:tc>
          <w:tcPr/>
          <w:p>
            <w:pPr>
              <w:pStyle w:val="Compact"/>
              <w:jc w:val="left"/>
            </w:pPr>
            <w:r>
              <w:t xml:space="preserve">Initial and current carrying amount</w:t>
            </w:r>
          </w:p>
        </w:tc>
        <w:tc>
          <w:tcPr/>
          <w:p>
            <w:pPr>
              <w:pStyle w:val="Compact"/>
              <w:jc w:val="left"/>
            </w:pPr>
            <w:r>
              <w:t xml:space="preserve">85,000</w:t>
            </w:r>
          </w:p>
        </w:tc>
        <w:tc>
          <w:tcPr/>
          <w:p>
            <w:pPr>
              <w:pStyle w:val="Compact"/>
            </w:pPr>
          </w:p>
        </w:tc>
      </w:tr>
    </w:tbl>
    <w:p>
      <w:pPr>
        <w:pStyle w:val="CaptionedFigure"/>
      </w:pPr>
      <w:r>
        <w:drawing>
          <wp:inline>
            <wp:extent cx="5778500" cy="3250406"/>
            <wp:effectExtent b="0" l="0" r="0" t="0"/>
            <wp:docPr descr="The asset record." title="" id="22" name="Picture"/>
            <a:graphic>
              <a:graphicData uri="http://schemas.openxmlformats.org/drawingml/2006/picture">
                <pic:pic>
                  <pic:nvPicPr>
                    <pic:cNvPr descr="images/training-museum-6/01-recognise.png" id="23" name="Picture"/>
                    <pic:cNvPicPr>
                      <a:picLocks noChangeArrowheads="1" noChangeAspect="1"/>
                    </pic:cNvPicPr>
                  </pic:nvPicPr>
                  <pic:blipFill>
                    <a:blip r:embed="rId21"/>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asset record.</w:t>
      </w:r>
    </w:p>
    <w:p>
      <w:pPr>
        <w:pStyle w:val="BodyText"/>
      </w:pPr>
      <w:r>
        <w:t xml:space="preserve">Save. The asset page shows the carrying amount, status, standard and class, with tabs for</w:t>
      </w:r>
      <w:r>
        <w:t xml:space="preserve"> </w:t>
      </w:r>
      <w:r>
        <w:rPr>
          <w:bCs/>
          <w:b/>
        </w:rPr>
        <w:t xml:space="preserve">Valuations</w:t>
      </w:r>
      <w:r>
        <w:t xml:space="preserve">,</w:t>
      </w:r>
      <w:r>
        <w:t xml:space="preserve"> </w:t>
      </w:r>
      <w:r>
        <w:rPr>
          <w:bCs/>
          <w:b/>
        </w:rPr>
        <w:t xml:space="preserve">Impairments</w:t>
      </w:r>
      <w:r>
        <w:t xml:space="preserve">,</w:t>
      </w:r>
      <w:r>
        <w:t xml:space="preserve"> </w:t>
      </w:r>
      <w:r>
        <w:rPr>
          <w:bCs/>
          <w:b/>
        </w:rPr>
        <w:t xml:space="preserve">Movements</w:t>
      </w:r>
      <w:r>
        <w:t xml:space="preserve"> </w:t>
      </w:r>
      <w:r>
        <w:t xml:space="preserve">and</w:t>
      </w:r>
      <w:r>
        <w:t xml:space="preserve"> </w:t>
      </w:r>
      <w:r>
        <w:rPr>
          <w:bCs/>
          <w:b/>
        </w:rPr>
        <w:t xml:space="preserve">Journal Entries</w:t>
      </w:r>
      <w:r>
        <w:t xml:space="preserve">.</w:t>
      </w:r>
    </w:p>
    <w:p>
      <w:pPr>
        <w:pStyle w:val="CaptionedFigure"/>
      </w:pPr>
      <w:r>
        <w:drawing>
          <wp:inline>
            <wp:extent cx="5778500" cy="3250406"/>
            <wp:effectExtent b="0" l="0" r="0" t="0"/>
            <wp:docPr descr="The new heritage asset." title="" id="25" name="Picture"/>
            <a:graphic>
              <a:graphicData uri="http://schemas.openxmlformats.org/drawingml/2006/picture">
                <pic:pic>
                  <pic:nvPicPr>
                    <pic:cNvPr descr="images/training-museum-6/02-asset.png" id="26" name="Picture"/>
                    <pic:cNvPicPr>
                      <a:picLocks noChangeArrowheads="1" noChangeAspect="1"/>
                    </pic:cNvPicPr>
                  </pic:nvPicPr>
                  <pic:blipFill>
                    <a:blip r:embed="rId24"/>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new heritage asset.</w:t>
      </w:r>
    </w:p>
    <w:bookmarkEnd w:id="27"/>
    <w:bookmarkStart w:id="34" w:name="revaluation"/>
    <w:p>
      <w:pPr>
        <w:pStyle w:val="Heading2"/>
      </w:pPr>
      <w:r>
        <w:t xml:space="preserve">2. Revaluation</w:t>
      </w:r>
    </w:p>
    <w:p>
      <w:pPr>
        <w:pStyle w:val="FirstParagraph"/>
      </w:pPr>
      <w:r>
        <w:t xml:space="preserve">On the</w:t>
      </w:r>
      <w:r>
        <w:t xml:space="preserve"> </w:t>
      </w:r>
      <w:r>
        <w:rPr>
          <w:bCs/>
          <w:b/>
        </w:rPr>
        <w:t xml:space="preserve">Valuations</w:t>
      </w:r>
      <w:r>
        <w:t xml:space="preserve"> </w:t>
      </w:r>
      <w:r>
        <w:t xml:space="preserve">tab, add a valuation: the date, the new value, the method (market value, cost approach, income approach, expert opinion, insurance valuation) and the valuer. Under the revaluation model an increase is credited to the</w:t>
      </w:r>
      <w:r>
        <w:t xml:space="preserve"> </w:t>
      </w:r>
      <w:r>
        <w:rPr>
          <w:bCs/>
          <w:b/>
        </w:rPr>
        <w:t xml:space="preserve">revaluation surplus</w:t>
      </w:r>
      <w:r>
        <w:t xml:space="preserve">; a decrease is charged against the surplus first.</w:t>
      </w:r>
    </w:p>
    <w:p>
      <w:pPr>
        <w:pStyle w:val="TableCaption"/>
      </w:pPr>
      <w:r>
        <w:t xml:space="preserve">The example revaluation</w:t>
      </w:r>
    </w:p>
    <w:tbl>
      <w:tblPr>
        <w:tblStyle w:val="Table"/>
        <w:tblW w:type="pct" w:w="5000"/>
        <w:tblLook w:firstRow="1" w:lastRow="0" w:firstColumn="0" w:lastColumn="0" w:noHBand="0" w:noVBand="0" w:val="0020"/>
        <w:jc w:val="start"/>
        <w:tblCaption w:val="The example revaluation"/>
      </w:tblPr>
      <w:tblGrid>
        <w:gridCol w:w="2640"/>
        <w:gridCol w:w="2640"/>
        <w:gridCol w:w="2640"/>
      </w:tblGrid>
      <w:tr>
        <w:trPr>
          <w:tblHeader w:val="true"/>
        </w:trPr>
        <w:tc>
          <w:tcPr/>
          <w:p>
            <w:pPr>
              <w:pStyle w:val="Compact"/>
              <w:jc w:val="left"/>
            </w:pPr>
            <w:r>
              <w:t xml:space="preserve">Before</w:t>
            </w:r>
          </w:p>
        </w:tc>
        <w:tc>
          <w:tcPr/>
          <w:p>
            <w:pPr>
              <w:pStyle w:val="Compact"/>
              <w:jc w:val="left"/>
            </w:pPr>
            <w:r>
              <w:t xml:space="preserve">Valuation</w:t>
            </w:r>
          </w:p>
        </w:tc>
        <w:tc>
          <w:tcPr/>
          <w:p>
            <w:pPr>
              <w:pStyle w:val="Compact"/>
              <w:jc w:val="left"/>
            </w:pPr>
            <w:r>
              <w:t xml:space="preserve">After</w:t>
            </w:r>
          </w:p>
        </w:tc>
      </w:tr>
      <w:tr>
        <w:tc>
          <w:tcPr/>
          <w:p>
            <w:pPr>
              <w:pStyle w:val="Compact"/>
              <w:jc w:val="left"/>
            </w:pPr>
            <w:r>
              <w:t xml:space="preserve">Carrying amount 85,000</w:t>
            </w:r>
          </w:p>
        </w:tc>
        <w:tc>
          <w:tcPr/>
          <w:p>
            <w:pPr>
              <w:pStyle w:val="Compact"/>
              <w:jc w:val="left"/>
            </w:pPr>
            <w:r>
              <w:t xml:space="preserve">95,000, expert opinion</w:t>
            </w:r>
          </w:p>
        </w:tc>
        <w:tc>
          <w:tcPr/>
          <w:p>
            <w:pPr>
              <w:pStyle w:val="Compact"/>
              <w:jc w:val="left"/>
            </w:pPr>
            <w:r>
              <w:t xml:space="preserve">Carrying amount 95,000; revaluation surplus 10,000</w:t>
            </w:r>
          </w:p>
        </w:tc>
      </w:tr>
    </w:tbl>
    <w:p>
      <w:pPr>
        <w:pStyle w:val="CaptionedFigure"/>
      </w:pPr>
      <w:r>
        <w:drawing>
          <wp:inline>
            <wp:extent cx="5778500" cy="3250406"/>
            <wp:effectExtent b="0" l="0" r="0" t="0"/>
            <wp:docPr descr="Recording the valuation." title="" id="29" name="Picture"/>
            <a:graphic>
              <a:graphicData uri="http://schemas.openxmlformats.org/drawingml/2006/picture">
                <pic:pic>
                  <pic:nvPicPr>
                    <pic:cNvPr descr="images/training-museum-6/03-valuation.png" id="30" name="Picture"/>
                    <pic:cNvPicPr>
                      <a:picLocks noChangeArrowheads="1" noChangeAspect="1"/>
                    </pic:cNvPicPr>
                  </pic:nvPicPr>
                  <pic:blipFill>
                    <a:blip r:embed="rId28"/>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Recording the valuation.</w:t>
      </w:r>
    </w:p>
    <w:p>
      <w:pPr>
        <w:pStyle w:val="CaptionedFigure"/>
      </w:pPr>
      <w:r>
        <w:drawing>
          <wp:inline>
            <wp:extent cx="5778500" cy="3250406"/>
            <wp:effectExtent b="0" l="0" r="0" t="0"/>
            <wp:docPr descr="After the revaluation." title="" id="32" name="Picture"/>
            <a:graphic>
              <a:graphicData uri="http://schemas.openxmlformats.org/drawingml/2006/picture">
                <pic:pic>
                  <pic:nvPicPr>
                    <pic:cNvPr descr="images/training-museum-6/04-revalued.png" id="33" name="Picture"/>
                    <pic:cNvPicPr>
                      <a:picLocks noChangeArrowheads="1" noChangeAspect="1"/>
                    </pic:cNvPicPr>
                  </pic:nvPicPr>
                  <pic:blipFill>
                    <a:blip r:embed="rId31"/>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After the revaluation.</w:t>
      </w:r>
    </w:p>
    <w:bookmarkEnd w:id="34"/>
    <w:bookmarkStart w:id="41" w:name="impairment"/>
    <w:p>
      <w:pPr>
        <w:pStyle w:val="Heading2"/>
      </w:pPr>
      <w:r>
        <w:t xml:space="preserve">3. Impairment</w:t>
      </w:r>
    </w:p>
    <w:p>
      <w:pPr>
        <w:pStyle w:val="FirstParagraph"/>
      </w:pPr>
      <w:r>
        <w:t xml:space="preserve">On the</w:t>
      </w:r>
      <w:r>
        <w:t xml:space="preserve"> </w:t>
      </w:r>
      <w:r>
        <w:rPr>
          <w:bCs/>
          <w:b/>
        </w:rPr>
        <w:t xml:space="preserve">Impairments</w:t>
      </w:r>
      <w:r>
        <w:t xml:space="preserve"> </w:t>
      </w:r>
      <w:r>
        <w:t xml:space="preserve">tab, add an assessment. Tick the indicators that apply (physical damage, obsolescence, change in use, external factors) and describe them, mark</w:t>
      </w:r>
      <w:r>
        <w:t xml:space="preserve"> </w:t>
      </w:r>
      <w:r>
        <w:rPr>
          <w:bCs/>
          <w:b/>
        </w:rPr>
        <w:t xml:space="preserve">Impairment identified</w:t>
      </w:r>
      <w:r>
        <w:t xml:space="preserve">, and give the</w:t>
      </w:r>
      <w:r>
        <w:t xml:space="preserve"> </w:t>
      </w:r>
      <w:r>
        <w:rPr>
          <w:bCs/>
          <w:b/>
        </w:rPr>
        <w:t xml:space="preserve">recoverable service amount</w:t>
      </w:r>
      <w:r>
        <w:t xml:space="preserve"> </w:t>
      </w:r>
      <w:r>
        <w:t xml:space="preserve">and who assessed it. If the loss is left blank it is worked out as the carrying amount less the recoverable amount, and the carrying amount is reduced to match.</w:t>
      </w:r>
    </w:p>
    <w:p>
      <w:pPr>
        <w:pStyle w:val="TableCaption"/>
      </w:pPr>
      <w:r>
        <w:t xml:space="preserve">The example impairment</w:t>
      </w:r>
    </w:p>
    <w:tbl>
      <w:tblPr>
        <w:tblStyle w:val="Table"/>
        <w:tblW w:type="pct" w:w="5000"/>
        <w:tblLook w:firstRow="1" w:lastRow="0" w:firstColumn="0" w:lastColumn="0" w:noHBand="0" w:noVBand="0" w:val="0020"/>
        <w:jc w:val="start"/>
        <w:tblCaption w:val="The example impairment"/>
      </w:tblPr>
      <w:tblGrid>
        <w:gridCol w:w="2640"/>
        <w:gridCol w:w="2640"/>
        <w:gridCol w:w="2640"/>
      </w:tblGrid>
      <w:tr>
        <w:trPr>
          <w:tblHeader w:val="true"/>
        </w:trPr>
        <w:tc>
          <w:tcPr/>
          <w:p>
            <w:pPr>
              <w:pStyle w:val="Compact"/>
              <w:jc w:val="left"/>
            </w:pPr>
            <w:r>
              <w:t xml:space="preserve">Before</w:t>
            </w:r>
          </w:p>
        </w:tc>
        <w:tc>
          <w:tcPr/>
          <w:p>
            <w:pPr>
              <w:pStyle w:val="Compact"/>
              <w:jc w:val="left"/>
            </w:pPr>
            <w:r>
              <w:t xml:space="preserve">Assessment</w:t>
            </w:r>
          </w:p>
        </w:tc>
        <w:tc>
          <w:tcPr/>
          <w:p>
            <w:pPr>
              <w:pStyle w:val="Compact"/>
              <w:jc w:val="left"/>
            </w:pPr>
            <w:r>
              <w:t xml:space="preserve">After</w:t>
            </w:r>
          </w:p>
        </w:tc>
      </w:tr>
      <w:tr>
        <w:tc>
          <w:tcPr/>
          <w:p>
            <w:pPr>
              <w:pStyle w:val="Compact"/>
              <w:jc w:val="left"/>
            </w:pPr>
            <w:r>
              <w:t xml:space="preserve">Carrying amount 95,000</w:t>
            </w:r>
          </w:p>
        </w:tc>
        <w:tc>
          <w:tcPr/>
          <w:p>
            <w:pPr>
              <w:pStyle w:val="Compact"/>
              <w:jc w:val="left"/>
            </w:pPr>
            <w:r>
              <w:t xml:space="preserve">Physical damage; recoverable amount 91,000</w:t>
            </w:r>
          </w:p>
        </w:tc>
        <w:tc>
          <w:tcPr/>
          <w:p>
            <w:pPr>
              <w:pStyle w:val="Compact"/>
              <w:jc w:val="left"/>
            </w:pPr>
            <w:r>
              <w:t xml:space="preserve">Impairment loss 4,000; carrying amount 91,000</w:t>
            </w:r>
          </w:p>
        </w:tc>
      </w:tr>
    </w:tbl>
    <w:p>
      <w:pPr>
        <w:pStyle w:val="CaptionedFigure"/>
      </w:pPr>
      <w:r>
        <w:drawing>
          <wp:inline>
            <wp:extent cx="5778500" cy="3250406"/>
            <wp:effectExtent b="0" l="0" r="0" t="0"/>
            <wp:docPr descr="The impairment assessment." title="" id="36" name="Picture"/>
            <a:graphic>
              <a:graphicData uri="http://schemas.openxmlformats.org/drawingml/2006/picture">
                <pic:pic>
                  <pic:nvPicPr>
                    <pic:cNvPr descr="images/training-museum-6/05-impairment.png" id="37" name="Picture"/>
                    <pic:cNvPicPr>
                      <a:picLocks noChangeArrowheads="1" noChangeAspect="1"/>
                    </pic:cNvPicPr>
                  </pic:nvPicPr>
                  <pic:blipFill>
                    <a:blip r:embed="rId35"/>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impairment assessment.</w:t>
      </w:r>
    </w:p>
    <w:p>
      <w:pPr>
        <w:pStyle w:val="CaptionedFigure"/>
      </w:pPr>
      <w:r>
        <w:drawing>
          <wp:inline>
            <wp:extent cx="5778500" cy="3250406"/>
            <wp:effectExtent b="0" l="0" r="0" t="0"/>
            <wp:docPr descr="After the impairment." title="" id="39" name="Picture"/>
            <a:graphic>
              <a:graphicData uri="http://schemas.openxmlformats.org/drawingml/2006/picture">
                <pic:pic>
                  <pic:nvPicPr>
                    <pic:cNvPr descr="images/training-museum-6/06-impaired.png" id="40" name="Picture"/>
                    <pic:cNvPicPr>
                      <a:picLocks noChangeArrowheads="1" noChangeAspect="1"/>
                    </pic:cNvPicPr>
                  </pic:nvPicPr>
                  <pic:blipFill>
                    <a:blip r:embed="rId38"/>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After the impairment.</w:t>
      </w:r>
    </w:p>
    <w:bookmarkEnd w:id="41"/>
    <w:bookmarkStart w:id="48" w:name="checking-against-grap-103"/>
    <w:p>
      <w:pPr>
        <w:pStyle w:val="Heading2"/>
      </w:pPr>
      <w:r>
        <w:t xml:space="preserve">4. Checking against GRAP 103</w:t>
      </w:r>
    </w:p>
    <w:p>
      <w:pPr>
        <w:pStyle w:val="FirstParagraph"/>
      </w:pPr>
      <w:r>
        <w:t xml:space="preserve">Open the asset’s</w:t>
      </w:r>
      <w:r>
        <w:t xml:space="preserve"> </w:t>
      </w:r>
      <w:r>
        <w:rPr>
          <w:bCs/>
          <w:b/>
        </w:rPr>
        <w:t xml:space="preserve">Compliance Check</w:t>
      </w:r>
      <w:r>
        <w:t xml:space="preserve"> </w:t>
      </w:r>
      <w:r>
        <w:t xml:space="preserve">(</w:t>
      </w:r>
      <w:r>
        <w:rPr>
          <w:rStyle w:val="VerbatimChar"/>
        </w:rPr>
        <w:t xml:space="preserve">/grap/check/&lt;asset id&gt;</w:t>
      </w:r>
      <w:r>
        <w:t xml:space="preserve">). Each requirement is listed with its GRAP 103 paragraph, category and status, and the page gives a compliance score. For the painting, recognition and measurement pass, with warnings for the significance statement, the insurance details and the location.</w:t>
      </w:r>
    </w:p>
    <w:p>
      <w:pPr>
        <w:pStyle w:val="CaptionedFigure"/>
      </w:pPr>
      <w:r>
        <w:drawing>
          <wp:inline>
            <wp:extent cx="5778500" cy="3250406"/>
            <wp:effectExtent b="0" l="0" r="0" t="0"/>
            <wp:docPr descr="The first compliance check." title="" id="43" name="Picture"/>
            <a:graphic>
              <a:graphicData uri="http://schemas.openxmlformats.org/drawingml/2006/picture">
                <pic:pic>
                  <pic:nvPicPr>
                    <pic:cNvPr descr="images/training-museum-6/07-check.png" id="44" name="Picture"/>
                    <pic:cNvPicPr>
                      <a:picLocks noChangeArrowheads="1" noChangeAspect="1"/>
                    </pic:cNvPicPr>
                  </pic:nvPicPr>
                  <pic:blipFill>
                    <a:blip r:embed="rId42"/>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first compliance check.</w:t>
      </w:r>
    </w:p>
    <w:p>
      <w:pPr>
        <w:pStyle w:val="BodyText"/>
      </w:pPr>
      <w:r>
        <w:t xml:space="preserve">Edit the asset to deal with them: heritage significance and a statement, the current location, and the insured value with the policy number. Check again: every requirement passes.</w:t>
      </w:r>
    </w:p>
    <w:p>
      <w:pPr>
        <w:pStyle w:val="CaptionedFigure"/>
      </w:pPr>
      <w:r>
        <w:drawing>
          <wp:inline>
            <wp:extent cx="5778500" cy="3250406"/>
            <wp:effectExtent b="0" l="0" r="0" t="0"/>
            <wp:docPr descr="The check after the fixes." title="" id="46" name="Picture"/>
            <a:graphic>
              <a:graphicData uri="http://schemas.openxmlformats.org/drawingml/2006/picture">
                <pic:pic>
                  <pic:nvPicPr>
                    <pic:cNvPr descr="images/training-museum-6/08-check-clear.png" id="47" name="Picture"/>
                    <pic:cNvPicPr>
                      <a:picLocks noChangeArrowheads="1" noChangeAspect="1"/>
                    </pic:cNvPicPr>
                  </pic:nvPicPr>
                  <pic:blipFill>
                    <a:blip r:embed="rId45"/>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check after the fixes.</w:t>
      </w:r>
    </w:p>
    <w:p>
      <w:pPr>
        <w:pStyle w:val="BodyText"/>
      </w:pPr>
      <w:r>
        <w:t xml:space="preserve">The</w:t>
      </w:r>
      <w:r>
        <w:t xml:space="preserve"> </w:t>
      </w:r>
      <w:r>
        <w:rPr>
          <w:bCs/>
          <w:b/>
        </w:rPr>
        <w:t xml:space="preserve">GRAP Dashboard</w:t>
      </w:r>
      <w:r>
        <w:t xml:space="preserve"> </w:t>
      </w:r>
      <w:r>
        <w:t xml:space="preserve">(</w:t>
      </w:r>
      <w:r>
        <w:rPr>
          <w:rStyle w:val="VerbatimChar"/>
        </w:rPr>
        <w:t xml:space="preserve">/grap/dashboard</w:t>
      </w:r>
      <w:r>
        <w:t xml:space="preserve">) shows the same picture across all assets and can run a batch check.</w:t>
      </w:r>
    </w:p>
    <w:bookmarkEnd w:id="48"/>
    <w:bookmarkStart w:id="55" w:name="reports"/>
    <w:p>
      <w:pPr>
        <w:pStyle w:val="Heading2"/>
      </w:pPr>
      <w:r>
        <w:t xml:space="preserve">5. Reports</w:t>
      </w:r>
    </w:p>
    <w:p>
      <w:pPr>
        <w:pStyle w:val="TableCaption"/>
      </w:pPr>
      <w:r>
        <w:t xml:space="preserve">Heritage accounting reports</w:t>
      </w:r>
    </w:p>
    <w:tbl>
      <w:tblPr>
        <w:tblStyle w:val="Table"/>
        <w:tblW w:type="pct" w:w="5000"/>
        <w:tblLook w:firstRow="1" w:lastRow="0" w:firstColumn="0" w:lastColumn="0" w:noHBand="0" w:noVBand="0" w:val="0020"/>
        <w:jc w:val="start"/>
        <w:tblCaption w:val="Heritage accounting reports"/>
      </w:tblPr>
      <w:tblGrid>
        <w:gridCol w:w="3960"/>
        <w:gridCol w:w="3960"/>
      </w:tblGrid>
      <w:tr>
        <w:trPr>
          <w:tblHeader w:val="true"/>
        </w:trPr>
        <w:tc>
          <w:tcPr/>
          <w:p>
            <w:pPr>
              <w:pStyle w:val="Compact"/>
              <w:jc w:val="left"/>
            </w:pPr>
            <w:r>
              <w:t xml:space="preserve">Report</w:t>
            </w:r>
          </w:p>
        </w:tc>
        <w:tc>
          <w:tcPr/>
          <w:p>
            <w:pPr>
              <w:pStyle w:val="Compact"/>
              <w:jc w:val="left"/>
            </w:pPr>
            <w:r>
              <w:t xml:space="preserve">Shows</w:t>
            </w:r>
          </w:p>
        </w:tc>
      </w:tr>
      <w:tr>
        <w:tc>
          <w:tcPr/>
          <w:p>
            <w:pPr>
              <w:pStyle w:val="Compact"/>
              <w:jc w:val="left"/>
            </w:pPr>
            <w:r>
              <w:t xml:space="preserve">Asset register</w:t>
            </w:r>
          </w:p>
        </w:tc>
        <w:tc>
          <w:tcPr/>
          <w:p>
            <w:pPr>
              <w:pStyle w:val="Compact"/>
              <w:jc w:val="left"/>
            </w:pPr>
            <w:r>
              <w:t xml:space="preserve">Every heritage asset with its class, status, basis, cost and carrying amount, filterable by standard, class and status</w:t>
            </w:r>
          </w:p>
        </w:tc>
      </w:tr>
      <w:tr>
        <w:tc>
          <w:tcPr/>
          <w:p>
            <w:pPr>
              <w:pStyle w:val="Compact"/>
              <w:jc w:val="left"/>
            </w:pPr>
            <w:r>
              <w:t xml:space="preserve">National Treasury report</w:t>
            </w:r>
          </w:p>
        </w:tc>
        <w:tc>
          <w:tcPr/>
          <w:p>
            <w:pPr>
              <w:pStyle w:val="Compact"/>
              <w:jc w:val="left"/>
            </w:pPr>
            <w:r>
              <w:t xml:space="preserve">Totals by asset class with impairments and revaluation surplus, and the full register, for the annual financial statements</w:t>
            </w:r>
          </w:p>
        </w:tc>
      </w:tr>
      <w:tr>
        <w:tc>
          <w:tcPr/>
          <w:p>
            <w:pPr>
              <w:pStyle w:val="Compact"/>
              <w:jc w:val="left"/>
            </w:pPr>
            <w:r>
              <w:t xml:space="preserve">Valuation and movement reports</w:t>
            </w:r>
          </w:p>
        </w:tc>
        <w:tc>
          <w:tcPr/>
          <w:p>
            <w:pPr>
              <w:pStyle w:val="Compact"/>
              <w:jc w:val="left"/>
            </w:pPr>
            <w:r>
              <w:t xml:space="preserve">Valuation history and revaluation surplus; loans, transfers, exhibitions and storage changes</w:t>
            </w:r>
          </w:p>
        </w:tc>
      </w:tr>
    </w:tbl>
    <w:p>
      <w:pPr>
        <w:pStyle w:val="CaptionedFigure"/>
      </w:pPr>
      <w:r>
        <w:drawing>
          <wp:inline>
            <wp:extent cx="5778500" cy="3250406"/>
            <wp:effectExtent b="0" l="0" r="0" t="0"/>
            <wp:docPr descr="The asset register." title="" id="50" name="Picture"/>
            <a:graphic>
              <a:graphicData uri="http://schemas.openxmlformats.org/drawingml/2006/picture">
                <pic:pic>
                  <pic:nvPicPr>
                    <pic:cNvPr descr="images/training-museum-6/09-register.png" id="51" name="Picture"/>
                    <pic:cNvPicPr>
                      <a:picLocks noChangeArrowheads="1" noChangeAspect="1"/>
                    </pic:cNvPicPr>
                  </pic:nvPicPr>
                  <pic:blipFill>
                    <a:blip r:embed="rId49"/>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asset register.</w:t>
      </w:r>
    </w:p>
    <w:p>
      <w:pPr>
        <w:pStyle w:val="CaptionedFigure"/>
      </w:pPr>
      <w:r>
        <w:drawing>
          <wp:inline>
            <wp:extent cx="5778500" cy="3250406"/>
            <wp:effectExtent b="0" l="0" r="0" t="0"/>
            <wp:docPr descr="The National Treasury report." title="" id="53" name="Picture"/>
            <a:graphic>
              <a:graphicData uri="http://schemas.openxmlformats.org/drawingml/2006/picture">
                <pic:pic>
                  <pic:nvPicPr>
                    <pic:cNvPr descr="images/training-museum-6/10-treasury.png" id="54" name="Picture"/>
                    <pic:cNvPicPr>
                      <a:picLocks noChangeArrowheads="1" noChangeAspect="1"/>
                    </pic:cNvPicPr>
                  </pic:nvPicPr>
                  <pic:blipFill>
                    <a:blip r:embed="rId52"/>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National Treasury report.</w:t>
      </w:r>
    </w:p>
    <w:bookmarkEnd w:id="55"/>
    <w:bookmarkStart w:id="59" w:name="other-standards"/>
    <w:p>
      <w:pPr>
        <w:pStyle w:val="Heading2"/>
      </w:pPr>
      <w:r>
        <w:t xml:space="preserve">6. Other standards</w:t>
      </w:r>
    </w:p>
    <w:p>
      <w:pPr>
        <w:pStyle w:val="FirstParagraph"/>
      </w:pPr>
      <w:r>
        <w:t xml:space="preserve">GRAP 103 is one of several accounting standards built in, each with its own compliance rules: IPSAS 45 and IPSAS 17, IAS 16, FRS 102, GASB 34, FASB 958, PSAS 3150, AASB 116 and a custom local standard. Administrators manage them under</w:t>
      </w:r>
      <w:r>
        <w:t xml:space="preserve"> </w:t>
      </w:r>
      <w:r>
        <w:rPr>
          <w:bCs/>
          <w:b/>
        </w:rPr>
        <w:t xml:space="preserve">Accounting Standards</w:t>
      </w:r>
      <w:r>
        <w:t xml:space="preserve">.</w:t>
      </w:r>
    </w:p>
    <w:p>
      <w:pPr>
        <w:pStyle w:val="CaptionedFigure"/>
      </w:pPr>
      <w:r>
        <w:drawing>
          <wp:inline>
            <wp:extent cx="5778500" cy="3250406"/>
            <wp:effectExtent b="0" l="0" r="0" t="0"/>
            <wp:docPr descr="The accounting standards." title="" id="57" name="Picture"/>
            <a:graphic>
              <a:graphicData uri="http://schemas.openxmlformats.org/drawingml/2006/picture">
                <pic:pic>
                  <pic:nvPicPr>
                    <pic:cNvPr descr="images/training-museum-6/11-standards.png" id="58" name="Picture"/>
                    <pic:cNvPicPr>
                      <a:picLocks noChangeArrowheads="1" noChangeAspect="1"/>
                    </pic:cNvPicPr>
                  </pic:nvPicPr>
                  <pic:blipFill>
                    <a:blip r:embed="rId56"/>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accounting standards.</w:t>
      </w:r>
    </w:p>
    <w:bookmarkEnd w:id="59"/>
    <w:bookmarkStart w:id="60" w:name="recap"/>
    <w:p>
      <w:pPr>
        <w:pStyle w:val="Heading2"/>
      </w:pPr>
      <w:r>
        <w:t xml:space="preserve">Recap</w:t>
      </w:r>
    </w:p>
    <w:p>
      <w:pPr>
        <w:numPr>
          <w:ilvl w:val="0"/>
          <w:numId w:val="1001"/>
        </w:numPr>
        <w:pStyle w:val="Compact"/>
      </w:pPr>
      <w:r>
        <w:t xml:space="preserve">Recognise the object as a heritage asset under the right standard.</w:t>
      </w:r>
    </w:p>
    <w:p>
      <w:pPr>
        <w:numPr>
          <w:ilvl w:val="0"/>
          <w:numId w:val="1001"/>
        </w:numPr>
        <w:pStyle w:val="Compact"/>
      </w:pPr>
      <w:r>
        <w:t xml:space="preserve">Record valuations and impairments as they happen.</w:t>
      </w:r>
    </w:p>
    <w:p>
      <w:pPr>
        <w:numPr>
          <w:ilvl w:val="0"/>
          <w:numId w:val="1001"/>
        </w:numPr>
        <w:pStyle w:val="Compact"/>
      </w:pPr>
      <w:r>
        <w:t xml:space="preserve">Check the record against the standard and fix what it flags.</w:t>
      </w:r>
    </w:p>
    <w:p>
      <w:pPr>
        <w:numPr>
          <w:ilvl w:val="0"/>
          <w:numId w:val="1001"/>
        </w:numPr>
        <w:pStyle w:val="Compact"/>
      </w:pPr>
      <w:r>
        <w:t xml:space="preserve">Produce the asset register and the treasury report from the same data.</w:t>
      </w:r>
    </w:p>
    <w:p>
      <w:pPr>
        <w:pStyle w:val="FirstParagraph"/>
      </w:pPr>
      <w:r>
        <w:t xml:space="preserve">That completes the museum training series.</w:t>
      </w:r>
    </w:p>
    <w:bookmarkEnd w:id="60"/>
    <w:sectPr>
      <w:headerReference r:id="rId9" w:type="default"/>
      <w:footerReference r:id="rId10" w:type="default"/>
      <w:pgSz w:h="16838" w:w="11906"/>
      <w:pgMar w:bottom="2200" w:footer="709" w:gutter="0" w:header="709" w:left="1361" w:right="1440" w:top="268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17120" w14:textId="77777777" w:rsidR="00A43D4C" w:rsidRDefault="00C04EB5" w:rsidP="00C04EB5">
    <w:pPr>
      <w:pStyle w:val="Footer"/>
      <w:tabs>
        <w:tab w:val="clear" w:pos="4513"/>
        <w:tab w:val="clear" w:pos="9026"/>
        <w:tab w:val="left" w:pos="3731"/>
      </w:tabs>
    </w:pPr>
    <w:r>
      <w:rPr>
        <w:noProof/>
      </w:rPr>
      <w:drawing>
        <wp:anchor distT="0" distB="0" distL="114300" distR="114300" simplePos="0" relativeHeight="251672576" behindDoc="1" locked="0" layoutInCell="1" allowOverlap="1" wp14:anchorId="61B824A6" wp14:editId="3C90FE3F">
          <wp:simplePos x="0" y="0"/>
          <wp:positionH relativeFrom="page">
            <wp:align>left</wp:align>
          </wp:positionH>
          <wp:positionV relativeFrom="paragraph">
            <wp:posOffset>-687573</wp:posOffset>
          </wp:positionV>
          <wp:extent cx="7597678" cy="1314821"/>
          <wp:effectExtent l="0" t="0" r="3810" b="0"/>
          <wp:wrapNone/>
          <wp:docPr id="1703766760" name="Picture 8" descr="A black and blue rectangl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66760" name="Picture 8" descr="A black and blue rectangle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97678" cy="1314821"/>
                  </a:xfrm>
                  <a:prstGeom prst="rect">
                    <a:avLst/>
                  </a:prstGeom>
                </pic:spPr>
              </pic:pic>
            </a:graphicData>
          </a:graphic>
          <wp14:sizeRelH relativeFrom="page">
            <wp14:pctWidth>0</wp14:pctWidth>
          </wp14:sizeRelH>
          <wp14:sizeRelV relativeFrom="page">
            <wp14:pctHeight>0</wp14:pctHeight>
          </wp14:sizeRelV>
        </wp:anchor>
      </w:drawing>
    </w: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A1AD" w14:textId="77777777" w:rsidR="0056207F" w:rsidRDefault="0050467E">
    <w:pPr>
      <w:pStyle w:val="Header"/>
    </w:pPr>
    <w:r>
      <w:rPr>
        <w:noProof/>
      </w:rPr>
      <mc:AlternateContent>
        <mc:Choice Requires="wps">
          <w:drawing>
            <wp:anchor distT="0" distB="0" distL="114300" distR="114300" simplePos="0" relativeHeight="251664384" behindDoc="0" locked="0" layoutInCell="1" allowOverlap="1" wp14:anchorId="0A6C3590" wp14:editId="15787B4A">
              <wp:simplePos x="0" y="0"/>
              <wp:positionH relativeFrom="column">
                <wp:posOffset>3907790</wp:posOffset>
              </wp:positionH>
              <wp:positionV relativeFrom="paragraph">
                <wp:posOffset>38579</wp:posOffset>
              </wp:positionV>
              <wp:extent cx="1625600" cy="527050"/>
              <wp:effectExtent l="0" t="0" r="0" b="6350"/>
              <wp:wrapNone/>
              <wp:docPr id="812939645" name="Text Box 5"/>
              <wp:cNvGraphicFramePr/>
              <a:graphic xmlns:a="http://schemas.openxmlformats.org/drawingml/2006/main">
                <a:graphicData uri="http://schemas.microsoft.com/office/word/2010/wordprocessingShape">
                  <wps:wsp>
                    <wps:cNvSpPr txBox="1"/>
                    <wps:spPr>
                      <a:xfrm>
                        <a:off x="0" y="0"/>
                        <a:ext cx="1625600" cy="527050"/>
                      </a:xfrm>
                      <a:prstGeom prst="rect">
                        <a:avLst/>
                      </a:prstGeom>
                      <a:noFill/>
                      <a:ln w="6350">
                        <a:noFill/>
                      </a:ln>
                    </wps:spPr>
                    <wps:txb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6C3590" id="_x0000_t202" coordsize="21600,21600" o:spt="202" path="m,l,21600r21600,l21600,xe">
              <v:stroke joinstyle="miter"/>
              <v:path gradientshapeok="t" o:connecttype="rect"/>
            </v:shapetype>
            <v:shape id="Text Box 5" o:spid="_x0000_s1026" type="#_x0000_t202" style="position:absolute;margin-left:307.7pt;margin-top:3.05pt;width:128pt;height:4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" filled="f" stroked="f" strokeweight=".5pt">
              <v:textbo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v:textbox>
            </v:shape>
          </w:pict>
        </mc:Fallback>
      </mc:AlternateContent>
    </w:r>
    <w:r w:rsidR="009614AC">
      <w:rPr>
        <w:noProof/>
      </w:rPr>
      <w:drawing>
        <wp:anchor distT="0" distB="0" distL="114300" distR="114300" simplePos="0" relativeHeight="251670528" behindDoc="1" locked="0" layoutInCell="1" allowOverlap="1" wp14:anchorId="05DDA482" wp14:editId="6B6E429E">
          <wp:simplePos x="0" y="0"/>
          <wp:positionH relativeFrom="page">
            <wp:posOffset>0</wp:posOffset>
          </wp:positionH>
          <wp:positionV relativeFrom="paragraph">
            <wp:posOffset>-457464</wp:posOffset>
          </wp:positionV>
          <wp:extent cx="7566766" cy="1144322"/>
          <wp:effectExtent l="0" t="0" r="0" b="0"/>
          <wp:wrapNone/>
          <wp:docPr id="138615095" name="Picture 7"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5095" name="Picture 7" descr="A white rectangular object with black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66766" cy="1144322"/>
                  </a:xfrm>
                  <a:prstGeom prst="rect">
                    <a:avLst/>
                  </a:prstGeom>
                </pic:spPr>
              </pic:pic>
            </a:graphicData>
          </a:graphic>
          <wp14:sizeRelH relativeFrom="page">
            <wp14:pctWidth>0</wp14:pctWidth>
          </wp14:sizeRelH>
          <wp14:sizeRelV relativeFrom="page">
            <wp14:pctHeight>0</wp14:pctHeight>
          </wp14:sizeRelV>
        </wp:anchor>
      </w:drawing>
    </w:r>
    <w:r w:rsidR="00C04EB5">
      <w:rPr>
        <w:noProof/>
      </w:rPr>
      <mc:AlternateContent>
        <mc:Choice Requires="wps">
          <w:drawing>
            <wp:anchor distT="0" distB="0" distL="114300" distR="114300" simplePos="0" relativeHeight="251668480" behindDoc="0" locked="0" layoutInCell="1" allowOverlap="1" wp14:anchorId="62B8B08E" wp14:editId="017DF92B">
              <wp:simplePos x="0" y="0"/>
              <wp:positionH relativeFrom="page">
                <wp:posOffset>6332855</wp:posOffset>
              </wp:positionH>
              <wp:positionV relativeFrom="paragraph">
                <wp:posOffset>114935</wp:posOffset>
              </wp:positionV>
              <wp:extent cx="1181100" cy="381000"/>
              <wp:effectExtent l="0" t="0" r="0" b="0"/>
              <wp:wrapNone/>
              <wp:docPr id="427271905"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8B08E" id="_x0000_s1027" type="#_x0000_t202" style="position:absolute;margin-left:498.65pt;margin-top:9.05pt;width:93pt;height:30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qBDFg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" filled="f" stroked="f" strokeweight=".5pt">
              <v:textbo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v:textbox>
              <w10:wrap anchorx="page"/>
            </v:shape>
          </w:pict>
        </mc:Fallback>
      </mc:AlternateContent>
    </w:r>
    <w:r w:rsidR="00C04EB5">
      <w:rPr>
        <w:noProof/>
      </w:rPr>
      <mc:AlternateContent>
        <mc:Choice Requires="wps">
          <w:drawing>
            <wp:anchor distT="0" distB="0" distL="114300" distR="114300" simplePos="0" relativeHeight="251666432" behindDoc="0" locked="0" layoutInCell="1" allowOverlap="1" wp14:anchorId="7B2099E7" wp14:editId="6C42685A">
              <wp:simplePos x="0" y="0"/>
              <wp:positionH relativeFrom="column">
                <wp:posOffset>5469989</wp:posOffset>
              </wp:positionH>
              <wp:positionV relativeFrom="paragraph">
                <wp:posOffset>-196215</wp:posOffset>
              </wp:positionV>
              <wp:extent cx="1181100" cy="381000"/>
              <wp:effectExtent l="0" t="0" r="0" b="0"/>
              <wp:wrapNone/>
              <wp:docPr id="1099339089"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099E7" id="_x0000_s1028" type="#_x0000_t202" style="position:absolute;margin-left:430.7pt;margin-top:-15.45pt;width:93pt;height:3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HnGA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" filled="f" stroked="f" strokeweight=".5pt">
              <v:textbo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v:textbox>
            </v:shape>
          </w:pict>
        </mc:Fallback>
      </mc:AlternateContent>
    </w:r>
    <w:r w:rsidR="00C04EB5">
      <w:rPr>
        <w:noProof/>
      </w:rPr>
      <mc:AlternateContent>
        <mc:Choice Requires="wps">
          <w:drawing>
            <wp:anchor distT="0" distB="0" distL="114300" distR="114300" simplePos="0" relativeHeight="251658240" behindDoc="0" locked="0" layoutInCell="1" allowOverlap="1" wp14:anchorId="392E9CD8" wp14:editId="2FFF53C2">
              <wp:simplePos x="0" y="0"/>
              <wp:positionH relativeFrom="column">
                <wp:posOffset>2543175</wp:posOffset>
              </wp:positionH>
              <wp:positionV relativeFrom="paragraph">
                <wp:posOffset>-196215</wp:posOffset>
              </wp:positionV>
              <wp:extent cx="1167765" cy="254000"/>
              <wp:effectExtent l="0" t="0" r="0" b="0"/>
              <wp:wrapNone/>
              <wp:docPr id="338007912" name="Text Box 5"/>
              <wp:cNvGraphicFramePr/>
              <a:graphic xmlns:a="http://schemas.openxmlformats.org/drawingml/2006/main">
                <a:graphicData uri="http://schemas.microsoft.com/office/word/2010/wordprocessingShape">
                  <wps:wsp>
                    <wps:cNvSpPr txBox="1"/>
                    <wps:spPr>
                      <a:xfrm>
                        <a:off x="0" y="0"/>
                        <a:ext cx="1167765" cy="254000"/>
                      </a:xfrm>
                      <a:prstGeom prst="rect">
                        <a:avLst/>
                      </a:prstGeom>
                      <a:noFill/>
                      <a:ln w="6350">
                        <a:noFill/>
                      </a:ln>
                    </wps:spPr>
                    <wps:txb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E9CD8" id="_x0000_s1029" type="#_x0000_t202" style="position:absolute;margin-left:200.25pt;margin-top:-15.45pt;width:91.95pt;height:2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" filled="f" stroked="f" strokeweight=".5pt">
              <v:textbo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v:textbox>
            </v:shape>
          </w:pict>
        </mc:Fallback>
      </mc:AlternateContent>
    </w:r>
    <w:r w:rsidR="00C04EB5">
      <w:rPr>
        <w:noProof/>
      </w:rPr>
      <mc:AlternateContent>
        <mc:Choice Requires="wps">
          <w:drawing>
            <wp:anchor distT="0" distB="0" distL="114300" distR="114300" simplePos="0" relativeHeight="251660288" behindDoc="0" locked="0" layoutInCell="1" allowOverlap="1" wp14:anchorId="6B6A3860" wp14:editId="2EB561BE">
              <wp:simplePos x="0" y="0"/>
              <wp:positionH relativeFrom="column">
                <wp:posOffset>2541270</wp:posOffset>
              </wp:positionH>
              <wp:positionV relativeFrom="paragraph">
                <wp:posOffset>133985</wp:posOffset>
              </wp:positionV>
              <wp:extent cx="1167765" cy="271145"/>
              <wp:effectExtent l="0" t="0" r="0" b="0"/>
              <wp:wrapNone/>
              <wp:docPr id="1124736102" name="Text Box 5"/>
              <wp:cNvGraphicFramePr/>
              <a:graphic xmlns:a="http://schemas.openxmlformats.org/drawingml/2006/main">
                <a:graphicData uri="http://schemas.microsoft.com/office/word/2010/wordprocessingShape">
                  <wps:wsp>
                    <wps:cNvSpPr txBox="1"/>
                    <wps:spPr>
                      <a:xfrm>
                        <a:off x="0" y="0"/>
                        <a:ext cx="1167765" cy="271145"/>
                      </a:xfrm>
                      <a:prstGeom prst="rect">
                        <a:avLst/>
                      </a:prstGeom>
                      <a:noFill/>
                      <a:ln w="6350">
                        <a:noFill/>
                      </a:ln>
                    </wps:spPr>
                    <wps:txb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A3860" id="_x0000_s1030" type="#_x0000_t202" style="position:absolute;margin-left:200.1pt;margin-top:10.55pt;width:91.95pt;height:21.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" filled="f" stroked="f" strokeweight=".5pt">
              <v:textbo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v:textbox>
            </v:shape>
          </w:pict>
        </mc:Fallback>
      </mc:AlternateContent>
    </w:r>
    <w:r w:rsidR="00C04EB5">
      <w:rPr>
        <w:noProof/>
      </w:rPr>
      <mc:AlternateContent>
        <mc:Choice Requires="wps">
          <w:drawing>
            <wp:anchor distT="0" distB="0" distL="114300" distR="114300" simplePos="0" relativeHeight="251662336" behindDoc="0" locked="0" layoutInCell="1" allowOverlap="1" wp14:anchorId="413D3162" wp14:editId="03DE40C5">
              <wp:simplePos x="0" y="0"/>
              <wp:positionH relativeFrom="column">
                <wp:posOffset>3906396</wp:posOffset>
              </wp:positionH>
              <wp:positionV relativeFrom="paragraph">
                <wp:posOffset>-192405</wp:posOffset>
              </wp:positionV>
              <wp:extent cx="1167765" cy="222250"/>
              <wp:effectExtent l="0" t="0" r="0" b="6350"/>
              <wp:wrapNone/>
              <wp:docPr id="940937639" name="Text Box 5"/>
              <wp:cNvGraphicFramePr/>
              <a:graphic xmlns:a="http://schemas.openxmlformats.org/drawingml/2006/main">
                <a:graphicData uri="http://schemas.microsoft.com/office/word/2010/wordprocessingShape">
                  <wps:wsp>
                    <wps:cNvSpPr txBox="1"/>
                    <wps:spPr>
                      <a:xfrm>
                        <a:off x="0" y="0"/>
                        <a:ext cx="1167765" cy="222250"/>
                      </a:xfrm>
                      <a:prstGeom prst="rect">
                        <a:avLst/>
                      </a:prstGeom>
                      <a:noFill/>
                      <a:ln w="6350">
                        <a:noFill/>
                      </a:ln>
                    </wps:spPr>
                    <wps:txb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3D3162" id="_x0000_s1031" type="#_x0000_t202" style="position:absolute;margin-left:307.6pt;margin-top:-15.15pt;width:91.95pt;height: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" filled="f" stroked="f" strokeweight=".5pt">
              <v:textbo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v:textbox>
            </v:shape>
          </w:pict>
        </mc:Fallback>
      </mc:AlternateContent>
    </w:r>
  </w:p>
  <w:p w14:paraId="4AB7329A" w14:textId="77777777" w:rsidR="0056207F" w:rsidRDefault="0056207F">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ZA"/>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ZA" w:val="en-ZA"/>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jc w:val="both"/>
    </w:pPr>
    <w:qFormat/>
  </w:style>
  <w:style w:customStyle="1" w:styleId="FirstParagraph" w:type="paragraph">
    <w:name w:val="First Paragraph"/>
    <w:basedOn w:val="BodyText"/>
    <w:next w:val="BodyText"/>
    <w:qFormat/>
    <w:pPr>
      <w:jc w:val="both"/>
    </w:p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CellMar>
        <w:top w:type="dxa" w:w="60"/>
        <w:left w:type="dxa" w:w="108"/>
        <w:bottom w:type="dxa" w:w="60"/>
        <w:right w:type="dxa" w:w="108"/>
      </w:tblCellMar>
    </w:tblPr>
    <w:tblStylePr w:type="firstRow">
      <w:rPr>
        <w:b/>
        <w:color w:val="FFFFFF"/>
      </w:rPr>
      <w:tcPr>
        <w:shd w:color="auto" w:fill="10373E"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footer2.xml" Type="http://schemas.openxmlformats.org/officeDocument/2006/relationships/footer"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6" Target="media/rId56.png"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 />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Museum, Part 6 - Heritage Accounting</dc:title>
  <dc:creator>Dr Johan Pieterse</dc:creator>
  <cp:keywords/>
  <dcterms:created xsi:type="dcterms:W3CDTF">2026-10-14T06:55:08Z</dcterms:created>
  <dcterms:modified xsi:type="dcterms:W3CDTF">2026-10-14T06:55:08Z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Step-by-step guide to recognising a heritage asset under GRAP 103, recording revaluations and impairments, checking compliance, and producing the asset register and National Treasury report</vt:lpwstr>
  </property>
</Properties>
</file>