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Compliance user guide</w:t>
      </w:r>
    </w:p>
    <w:p>
      <w:pPr>
        <w:pStyle w:val="Author"/>
      </w:pPr>
      <w:r>
        <w:t xml:space="preserve">The Archive and Heritage Group (Pty) Ltd</w:t>
      </w:r>
    </w:p>
    <w:bookmarkStart w:id="27" w:name="ai-compliance-user-guide"/>
    <w:p>
      <w:pPr>
        <w:pStyle w:val="Heading1"/>
      </w:pPr>
      <w:r>
        <w:t xml:space="preserve">AI Compliance user guide</w:t>
      </w:r>
    </w:p>
    <w:p>
      <w:pPr>
        <w:pStyle w:val="FirstParagraph"/>
      </w:pPr>
      <w:r>
        <w:t xml:space="preserve">PSIS records every AI inference call in a tamper-evident chain so auditors</w:t>
      </w:r>
      <w:r>
        <w:t xml:space="preserve"> </w:t>
      </w:r>
      <w:r>
        <w:t xml:space="preserve">(internal or external) can verify the system has not been silently rewritten.</w:t>
      </w:r>
      <w:r>
        <w:t xml:space="preserve"> </w:t>
      </w:r>
      <w:r>
        <w:t xml:space="preserve">This is how PSIS satisfies EU AI Act Article 12.</w:t>
      </w:r>
    </w:p>
    <w:bookmarkStart w:id="20" w:name="what-gets-logged"/>
    <w:p>
      <w:pPr>
        <w:pStyle w:val="Heading2"/>
      </w:pPr>
      <w:r>
        <w:t xml:space="preserve">What gets logged</w:t>
      </w:r>
    </w:p>
    <w:p>
      <w:pPr>
        <w:pStyle w:val="FirstParagraph"/>
      </w:pPr>
      <w:r>
        <w:t xml:space="preserve">Every call to an AI service - LLM completion, HTR extraction, NER tagging,</w:t>
      </w:r>
      <w:r>
        <w:t xml:space="preserve"> </w:t>
      </w:r>
      <w:r>
        <w:t xml:space="preserve">OCR, translation, guardrail check - produces one row in the</w:t>
      </w:r>
      <w:r>
        <w:t xml:space="preserve"> </w:t>
      </w:r>
      <w:r>
        <w:rPr>
          <w:rStyle w:val="VerbatimChar"/>
        </w:rPr>
        <w:t xml:space="preserve">ai_inference_log</w:t>
      </w:r>
      <w:r>
        <w:t xml:space="preserve"> </w:t>
      </w:r>
      <w:r>
        <w:t xml:space="preserve">table. Each row contains:</w:t>
      </w:r>
    </w:p>
    <w:p>
      <w:pPr>
        <w:numPr>
          <w:ilvl w:val="0"/>
          <w:numId w:val="1001"/>
        </w:numPr>
        <w:pStyle w:val="Compact"/>
      </w:pPr>
      <w:r>
        <w:t xml:space="preserve">the service name, model id and model version</w:t>
      </w:r>
    </w:p>
    <w:p>
      <w:pPr>
        <w:numPr>
          <w:ilvl w:val="0"/>
          <w:numId w:val="1001"/>
        </w:numPr>
        <w:pStyle w:val="Compact"/>
      </w:pPr>
      <w:r>
        <w:t xml:space="preserve">a SHA-256 fingerprint of the input and of the output (full bodies are not</w:t>
      </w:r>
      <w:r>
        <w:t xml:space="preserve"> </w:t>
      </w:r>
      <w:r>
        <w:t xml:space="preserve">retained by default)</w:t>
      </w:r>
    </w:p>
    <w:p>
      <w:pPr>
        <w:numPr>
          <w:ilvl w:val="0"/>
          <w:numId w:val="1001"/>
        </w:numPr>
        <w:pStyle w:val="Compact"/>
      </w:pPr>
      <w:r>
        <w:t xml:space="preserve">the timestamp, request id, user id (if logged in) and tenant id</w:t>
      </w:r>
    </w:p>
    <w:p>
      <w:pPr>
        <w:numPr>
          <w:ilvl w:val="0"/>
          <w:numId w:val="1001"/>
        </w:numPr>
        <w:pStyle w:val="Compact"/>
      </w:pPr>
      <w:r>
        <w:t xml:space="preserve">a chain hash that links to the previous row</w:t>
      </w:r>
    </w:p>
    <w:p>
      <w:pPr>
        <w:numPr>
          <w:ilvl w:val="0"/>
          <w:numId w:val="1001"/>
        </w:numPr>
        <w:pStyle w:val="Compact"/>
      </w:pPr>
      <w:r>
        <w:t xml:space="preserve">an Ed25519 signature</w:t>
      </w:r>
    </w:p>
    <w:p>
      <w:pPr>
        <w:pStyle w:val="FirstParagraph"/>
      </w:pPr>
      <w:r>
        <w:t xml:space="preserve">Modifying or deleting a row breaks the chain at a detectable point. The</w:t>
      </w:r>
      <w:r>
        <w:t xml:space="preserve"> </w:t>
      </w:r>
      <w:r>
        <w:t xml:space="preserve">verifier task walks the chain end-to-end and reports the first tamper site.</w:t>
      </w:r>
    </w:p>
    <w:bookmarkEnd w:id="20"/>
    <w:bookmarkStart w:id="21" w:name="where-to-find-the-public-key"/>
    <w:p>
      <w:pPr>
        <w:pStyle w:val="Heading2"/>
      </w:pPr>
      <w:r>
        <w:t xml:space="preserve">Where to find the public key</w:t>
      </w:r>
    </w:p>
    <w:p>
      <w:pPr>
        <w:pStyle w:val="FirstParagraph"/>
      </w:pPr>
      <w:r>
        <w:t xml:space="preserve">The signing public key is published at:</w:t>
      </w:r>
    </w:p>
    <w:p>
      <w:pPr>
        <w:pStyle w:val="SourceCode"/>
      </w:pPr>
      <w:r>
        <w:rPr>
          <w:rStyle w:val="VerbatimChar"/>
        </w:rPr>
        <w:t xml:space="preserve">https://psis.theahg.co.za/.well-known/ai-inference-pubkey</w:t>
      </w:r>
    </w:p>
    <w:p>
      <w:pPr>
        <w:pStyle w:val="FirstParagraph"/>
      </w:pPr>
      <w:r>
        <w:t xml:space="preserve">Any external auditor or sibling system can use that key to verify receipts</w:t>
      </w:r>
      <w:r>
        <w:t xml:space="preserve"> </w:t>
      </w:r>
      <w:r>
        <w:t xml:space="preserve">offline.</w:t>
      </w:r>
    </w:p>
    <w:bookmarkEnd w:id="21"/>
    <w:bookmarkStart w:id="22" w:name="verifying-the-log"/>
    <w:p>
      <w:pPr>
        <w:pStyle w:val="Heading2"/>
      </w:pPr>
      <w:r>
        <w:t xml:space="preserve">Verifying the log</w:t>
      </w:r>
    </w:p>
    <w:p>
      <w:pPr>
        <w:pStyle w:val="FirstParagraph"/>
      </w:pPr>
      <w:r>
        <w:t xml:space="preserve">A site administrator can verify the chain at any time:</w:t>
      </w:r>
    </w:p>
    <w:p>
      <w:pPr>
        <w:pStyle w:val="SourceCode"/>
      </w:pPr>
      <w:r>
        <w:rPr>
          <w:rStyle w:val="VerbatimChar"/>
        </w:rPr>
        <w:t xml:space="preserve">php symfony ai-compliance:verify-inference-log</w:t>
      </w:r>
    </w:p>
    <w:p>
      <w:pPr>
        <w:pStyle w:val="FirstParagraph"/>
      </w:pPr>
      <w:r>
        <w:t xml:space="preserve">A successful run prints</w:t>
      </w:r>
      <w:r>
        <w:t xml:space="preserve"> </w:t>
      </w:r>
      <w:r>
        <w:rPr>
          <w:rStyle w:val="VerbatimChar"/>
        </w:rPr>
        <w:t xml:space="preserve">PASS - &lt;N&gt; receipts verified in &lt;ms&gt; ms</w:t>
      </w:r>
      <w:r>
        <w:t xml:space="preserve">. A failed</w:t>
      </w:r>
      <w:r>
        <w:t xml:space="preserve"> </w:t>
      </w:r>
      <w:r>
        <w:t xml:space="preserve">run prints the first broken sequence number and a hint for inspection. Wire</w:t>
      </w:r>
      <w:r>
        <w:t xml:space="preserve"> </w:t>
      </w:r>
      <w:r>
        <w:t xml:space="preserve">this task into your monitoring (cron + alert on non-zero exit) so any</w:t>
      </w:r>
      <w:r>
        <w:t xml:space="preserve"> </w:t>
      </w:r>
      <w:r>
        <w:t xml:space="preserve">tampering is surfaced within hours.</w:t>
      </w:r>
    </w:p>
    <w:bookmarkEnd w:id="22"/>
    <w:bookmarkStart w:id="23" w:name="retention"/>
    <w:p>
      <w:pPr>
        <w:pStyle w:val="Heading2"/>
      </w:pPr>
      <w:r>
        <w:t xml:space="preserve">Retention</w:t>
      </w:r>
    </w:p>
    <w:p>
      <w:pPr>
        <w:pStyle w:val="FirstParagraph"/>
      </w:pPr>
      <w:r>
        <w:t xml:space="preserve">By default the full payload of each receipt is kept for 7 years (</w:t>
      </w:r>
      <w:r>
        <w:rPr>
          <w:rStyle w:val="VerbatimChar"/>
        </w:rPr>
        <w:t xml:space="preserve">payload_json</w:t>
      </w:r>
      <w:r>
        <w:t xml:space="preserve"> </w:t>
      </w:r>
      <w:r>
        <w:t xml:space="preserve">column). After the retention window, a daily sweep nulls</w:t>
      </w:r>
      <w:r>
        <w:t xml:space="preserve"> </w:t>
      </w:r>
      <w:r>
        <w:rPr>
          <w:rStyle w:val="VerbatimChar"/>
        </w:rPr>
        <w:t xml:space="preserve">payload_json</w:t>
      </w:r>
      <w:r>
        <w:t xml:space="preserve"> </w:t>
      </w:r>
      <w:r>
        <w:t xml:space="preserve">while</w:t>
      </w:r>
      <w:r>
        <w:t xml:space="preserve"> </w:t>
      </w:r>
      <w:r>
        <w:t xml:space="preserve">preserving the row, its chain hash and its signature - the chain is still</w:t>
      </w:r>
      <w:r>
        <w:t xml:space="preserve"> </w:t>
      </w:r>
      <w:r>
        <w:t xml:space="preserve">verifiable, the PII-bearing payload is gone.</w:t>
      </w:r>
    </w:p>
    <w:p>
      <w:pPr>
        <w:pStyle w:val="BodyText"/>
      </w:pPr>
      <w:r>
        <w:t xml:space="preserve">Change the window in AtoM settings (</w:t>
      </w:r>
      <w:r>
        <w:rPr>
          <w:rStyle w:val="VerbatimChar"/>
        </w:rPr>
        <w:t xml:space="preserve">ai_compliance_retention_years</w:t>
      </w:r>
      <w:r>
        <w:t xml:space="preserve">) or</w:t>
      </w:r>
      <w:r>
        <w:t xml:space="preserve"> </w:t>
      </w:r>
      <w:r>
        <w:t xml:space="preserve">override per-run with</w:t>
      </w:r>
      <w:r>
        <w:t xml:space="preserve"> </w:t>
      </w:r>
      <w:r>
        <w:rPr>
          <w:rStyle w:val="VerbatimChar"/>
        </w:rPr>
        <w:t xml:space="preserve">--years=N</w:t>
      </w:r>
      <w:r>
        <w:t xml:space="preserve">.</w:t>
      </w:r>
    </w:p>
    <w:bookmarkEnd w:id="23"/>
    <w:bookmarkStart w:id="24" w:name="rotating-the-signing-key"/>
    <w:p>
      <w:pPr>
        <w:pStyle w:val="Heading2"/>
      </w:pPr>
      <w:r>
        <w:t xml:space="preserve">Rotating the signing key</w:t>
      </w:r>
    </w:p>
    <w:p>
      <w:pPr>
        <w:pStyle w:val="FirstParagraph"/>
      </w:pPr>
      <w:r>
        <w:t xml:space="preserve">When you rotate (annually, or on suspected compromise):</w:t>
      </w:r>
    </w:p>
    <w:p>
      <w:pPr>
        <w:pStyle w:val="SourceCode"/>
      </w:pPr>
      <w:r>
        <w:rPr>
          <w:rStyle w:val="VerbatimChar"/>
        </w:rPr>
        <w:t xml:space="preserve">sudo -u www-data php symfony ai-compliance:install-key --rotate --force</w:t>
      </w:r>
    </w:p>
    <w:p>
      <w:pPr>
        <w:pStyle w:val="FirstParagraph"/>
      </w:pPr>
      <w:r>
        <w:t xml:space="preserve">The new key becomes active for new receipts; the old key stays in</w:t>
      </w:r>
      <w:r>
        <w:t xml:space="preserve"> </w:t>
      </w:r>
      <w:r>
        <w:rPr>
          <w:rStyle w:val="VerbatimChar"/>
        </w:rPr>
        <w:t xml:space="preserve">ai_inference_key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rotated_at</w:t>
      </w:r>
      <w:r>
        <w:t xml:space="preserve"> </w:t>
      </w:r>
      <w:r>
        <w:t xml:space="preserve">set, so historic receipts continue</w:t>
      </w:r>
      <w:r>
        <w:t xml:space="preserve"> </w:t>
      </w:r>
      <w:r>
        <w:t xml:space="preserve">to verify under the key that signed them.</w:t>
      </w:r>
    </w:p>
    <w:bookmarkEnd w:id="24"/>
    <w:bookmarkStart w:id="25" w:name="what-this-does-not-do"/>
    <w:p>
      <w:pPr>
        <w:pStyle w:val="Heading2"/>
      </w:pPr>
      <w:r>
        <w:t xml:space="preserve">What this does not do</w:t>
      </w:r>
    </w:p>
    <w:p>
      <w:pPr>
        <w:pStyle w:val="FirstParagraph"/>
      </w:pPr>
      <w:r>
        <w:t xml:space="preserve">The chain proves the receipts have not been tampered with. It does not</w:t>
      </w:r>
      <w:r>
        <w:t xml:space="preserve"> </w:t>
      </w:r>
      <w:r>
        <w:t xml:space="preserve">prove the receipts were complete - that depends on the AI services</w:t>
      </w:r>
      <w:r>
        <w:t xml:space="preserve"> </w:t>
      </w:r>
      <w:r>
        <w:t xml:space="preserve">actually calling the logger after each inference. Once the Phase-2</w:t>
      </w:r>
      <w:r>
        <w:t xml:space="preserve"> </w:t>
      </w:r>
      <w:r>
        <w:t xml:space="preserve">wire-up ships, every AI service in</w:t>
      </w:r>
      <w:r>
        <w:t xml:space="preserve"> </w:t>
      </w:r>
      <w:r>
        <w:rPr>
          <w:rStyle w:val="VerbatimChar"/>
        </w:rPr>
        <w:t xml:space="preserve">ahgAIPlugin</w:t>
      </w:r>
      <w:r>
        <w:t xml:space="preserve"> </w:t>
      </w:r>
      <w:r>
        <w:t xml:space="preserve">will log to the chain.</w:t>
      </w:r>
    </w:p>
    <w:bookmarkEnd w:id="25"/>
    <w:bookmarkStart w:id="26" w:name="see-also"/>
    <w:p>
      <w:pPr>
        <w:pStyle w:val="Heading2"/>
      </w:pPr>
      <w:r>
        <w:t xml:space="preserve">See also</w:t>
      </w:r>
    </w:p>
    <w:p>
      <w:pPr>
        <w:numPr>
          <w:ilvl w:val="0"/>
          <w:numId w:val="1002"/>
        </w:numPr>
        <w:pStyle w:val="Compact"/>
      </w:pPr>
      <w:r>
        <w:t xml:space="preserve">Plugin README:</w:t>
      </w:r>
      <w:r>
        <w:t xml:space="preserve"> </w:t>
      </w:r>
      <w:r>
        <w:rPr>
          <w:rStyle w:val="VerbatimChar"/>
        </w:rPr>
        <w:t xml:space="preserve">plugins/ahgAiCompliancePlugin/README.md</w:t>
      </w:r>
    </w:p>
    <w:p>
      <w:pPr>
        <w:numPr>
          <w:ilvl w:val="0"/>
          <w:numId w:val="1002"/>
        </w:numPr>
        <w:pStyle w:val="Compact"/>
      </w:pPr>
      <w:r>
        <w:t xml:space="preserve">Reference doc:</w:t>
      </w:r>
      <w:r>
        <w:t xml:space="preserve"> </w:t>
      </w:r>
      <w:r>
        <w:rPr>
          <w:rStyle w:val="VerbatimChar"/>
        </w:rPr>
        <w:t xml:space="preserve">ai-compliance-article-12.md</w:t>
      </w:r>
    </w:p>
    <w:p>
      <w:pPr>
        <w:numPr>
          <w:ilvl w:val="0"/>
          <w:numId w:val="1002"/>
        </w:numPr>
        <w:pStyle w:val="Compact"/>
      </w:pPr>
      <w:r>
        <w:t xml:space="preserve">EU AI Act Article 12 (enforcement: 2 August 2026)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Compliance user guide</dc:title>
  <dc:creator>The Archive and Heritage Group (Pty) Ltd</dc:creator>
  <cp:category>ai</cp:category>
  <cp:keywords/>
  <dcterms:created xsi:type="dcterms:W3CDTF">2026-06-03T17:40:00Z</dcterms:created>
  <dcterms:modified xsi:type="dcterms:W3CDTF">2026-06-03T17:40:00Z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80</vt:lpwstr>
  </property>
  <property fmtid="{D5CDD505-2E9C-101B-9397-08002B2CF9AE}" pid="3" name="slug">
    <vt:lpwstr>ai-compliance-user-guide</vt:lpwstr>
  </property>
</Properties>
</file>