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Inventory &amp; Governance</w:t>
      </w:r>
    </w:p>
    <w:p>
      <w:pPr>
        <w:pStyle w:val="Author"/>
      </w:pPr>
      <w:r>
        <w:t xml:space="preserve">The Archive and Heritage Group (Pty) Ltd</w:t>
      </w:r>
    </w:p>
    <w:bookmarkStart w:id="29" w:name="ai-inventory-governance"/>
    <w:p>
      <w:pPr>
        <w:pStyle w:val="Heading1"/>
      </w:pPr>
      <w:r>
        <w:t xml:space="preserve">AI Inventory &amp; Governance</w:t>
      </w:r>
    </w:p>
    <w:p>
      <w:pPr>
        <w:pStyle w:val="FirstParagraph"/>
      </w:pPr>
      <w:r>
        <w:t xml:space="preserve">The AHG plugins run several AI services - named-entity recognition (NER), handwriting transcription (HTR), summarisation, translation and condition assessment. The</w:t>
      </w:r>
      <w:r>
        <w:t xml:space="preserve"> </w:t>
      </w:r>
      <w:r>
        <w:rPr>
          <w:bCs/>
          <w:b/>
        </w:rPr>
        <w:t xml:space="preserve">AI Inventory &amp; Governance</w:t>
      </w:r>
      <w:r>
        <w:t xml:space="preserve"> </w:t>
      </w:r>
      <w:r>
        <w:t xml:space="preserve">dashboard is the single place to see which models are in use, how they are configured, what they have produced, and whether each result can be cryptographically verified.</w:t>
      </w:r>
    </w:p>
    <w:p>
      <w:pPr>
        <w:pStyle w:val="BodyText"/>
      </w:pPr>
      <w:r>
        <w:t xml:space="preserve">Open it from the AI menu at</w:t>
      </w:r>
      <w:r>
        <w:t xml:space="preserve"> </w:t>
      </w:r>
      <w:r>
        <w:rPr>
          <w:bCs/>
          <w:b/>
        </w:rPr>
        <w:t xml:space="preserve">AI Governance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/ai/governance</w:t>
      </w:r>
      <w:r>
        <w:t xml:space="preserve">). The page is admin-gated.</w:t>
      </w:r>
    </w:p>
    <w:bookmarkStart w:id="20" w:name="why-this-page-exists"/>
    <w:p>
      <w:pPr>
        <w:pStyle w:val="Heading2"/>
      </w:pPr>
      <w:r>
        <w:t xml:space="preserve">Why this page exists</w:t>
      </w:r>
    </w:p>
    <w:p>
      <w:pPr>
        <w:pStyle w:val="FirstParagraph"/>
      </w:pPr>
      <w:r>
        <w:t xml:space="preserve">An archive that lets AI touch its catalogue records has to be able to answer three questions for any auditor, funder or freedom-of-information request: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model produced this?</w:t>
      </w:r>
      <w:r>
        <w:t xml:space="preserve"> </w:t>
      </w:r>
      <w:r>
        <w:t xml:space="preserve">Name, version and the full runtime configuration in force at the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 the result been tampered with since?</w:t>
      </w:r>
      <w:r>
        <w:t xml:space="preserve"> </w:t>
      </w:r>
      <w:r>
        <w:t xml:space="preserve">A recorded inference can carry a cryptographic signature over a canonical manifest of its inputs, outputs and model identity.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configured the AI, and how?</w:t>
      </w:r>
      <w:r>
        <w:t xml:space="preserve"> </w:t>
      </w:r>
      <w:r>
        <w:t xml:space="preserve">The model inventory shows every LLM endpoint the system is wired to, minus the secrets.</w:t>
      </w:r>
    </w:p>
    <w:p>
      <w:pPr>
        <w:pStyle w:val="FirstParagraph"/>
      </w:pPr>
      <w:r>
        <w:t xml:space="preserve">The dashboard answers all three from one screen. It reads only - nothing on this page changes a record or re-runs a model.</w:t>
      </w:r>
    </w:p>
    <w:bookmarkEnd w:id="20"/>
    <w:bookmarkStart w:id="21" w:name="what-the-dashboard-shows"/>
    <w:p>
      <w:pPr>
        <w:pStyle w:val="Heading2"/>
      </w:pPr>
      <w:r>
        <w:t xml:space="preserve">What the dashboard shows</w:t>
      </w:r>
    </w:p>
    <w:p>
      <w:pPr>
        <w:pStyle w:val="FirstParagraph"/>
      </w:pPr>
      <w:r>
        <w:t xml:space="preserve">The page is served by the</w:t>
      </w:r>
      <w:r>
        <w:t xml:space="preserve"> </w:t>
      </w:r>
      <w:r>
        <w:rPr>
          <w:rStyle w:val="VerbatimChar"/>
        </w:rPr>
        <w:t xml:space="preserve">executeGovernance</w:t>
      </w:r>
      <w:r>
        <w:t xml:space="preserve"> </w:t>
      </w:r>
      <w:r>
        <w:t xml:space="preserve">action in the AI module and rendered by</w:t>
      </w:r>
      <w:r>
        <w:t xml:space="preserve"> </w:t>
      </w:r>
      <w:r>
        <w:rPr>
          <w:rStyle w:val="VerbatimChar"/>
        </w:rPr>
        <w:t xml:space="preserve">governanceSuccess.php</w:t>
      </w:r>
      <w:r>
        <w:t xml:space="preserve">. It has three regions.</w:t>
      </w:r>
    </w:p>
    <w:p>
      <w:pPr>
        <w:pStyle w:val="BodyText"/>
      </w:pPr>
      <w:r>
        <w:rPr>
          <w:bCs/>
          <w:b/>
        </w:rPr>
        <w:t xml:space="preserve">Stat cards</w:t>
      </w:r>
      <w:r>
        <w:t xml:space="preserve"> </w:t>
      </w:r>
      <w:r>
        <w:t xml:space="preserve">along the top: total inferences recorded, count of distinct models seen, how many inferences are signed, and the share of inferences carrying a model manifest.</w:t>
      </w:r>
    </w:p>
    <w:p>
      <w:pPr>
        <w:pStyle w:val="BodyText"/>
      </w:pPr>
      <w:r>
        <w:rPr>
          <w:bCs/>
          <w:b/>
        </w:rPr>
        <w:t xml:space="preserve">Model inventory table</w:t>
      </w:r>
      <w:r>
        <w:t xml:space="preserve"> </w:t>
      </w:r>
      <w:r>
        <w:t xml:space="preserve">- one row per configured LLM (from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): the model name, its endpoint, the service it backs, and a manifest badge. API keys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rendered on this page or returned by its JSON endpoints; only their presence is indicated.</w:t>
      </w:r>
    </w:p>
    <w:p>
      <w:pPr>
        <w:pStyle w:val="BodyText"/>
      </w:pPr>
      <w:r>
        <w:rPr>
          <w:bCs/>
          <w:b/>
        </w:rPr>
        <w:t xml:space="preserve">Recent inferences table</w:t>
      </w:r>
      <w:r>
        <w:t xml:space="preserve"> </w:t>
      </w:r>
      <w:r>
        <w:t xml:space="preserve">- the latest rows from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: service, model name and version, target record, confidence, a manifest key-count badge, and a</w:t>
      </w:r>
      <w:r>
        <w:t xml:space="preserve"> </w:t>
      </w:r>
      <w:r>
        <w:rPr>
          <w:bCs/>
          <w:b/>
        </w:rPr>
        <w:t xml:space="preserve">signed</w:t>
      </w:r>
      <w:r>
        <w:t xml:space="preserve"> </w:t>
      </w:r>
      <w:r>
        <w:t xml:space="preserve">column that reads the real</w:t>
      </w:r>
      <w:r>
        <w:t xml:space="preserve"> </w:t>
      </w:r>
      <w:r>
        <w:rPr>
          <w:rStyle w:val="VerbatimChar"/>
        </w:rPr>
        <w:t xml:space="preserve">signer_key_id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Two JSON endpoints back the page for scripted audits: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/ai/governance/models</w:t>
      </w:r>
      <w:r>
        <w:t xml:space="preserve"> </w:t>
      </w:r>
      <w:r>
        <w:t xml:space="preserve">- the model inventory as JSON (keys redacted).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/ai/governance/inferences</w:t>
      </w:r>
      <w:r>
        <w:t xml:space="preserve"> </w:t>
      </w:r>
      <w:r>
        <w:t xml:space="preserve">- recent inferences as JSON.</w:t>
      </w:r>
    </w:p>
    <w:p>
      <w:pPr>
        <w:pStyle w:val="FirstParagraph"/>
      </w:pPr>
      <w:r>
        <w:t xml:space="preserve">All three are Capsule queries over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.</w:t>
      </w:r>
    </w:p>
    <w:bookmarkEnd w:id="21"/>
    <w:bookmarkStart w:id="22" w:name="the-model-inventory"/>
    <w:p>
      <w:pPr>
        <w:pStyle w:val="Heading2"/>
      </w:pPr>
      <w:r>
        <w:t xml:space="preserve">The model inventory</w:t>
      </w:r>
    </w:p>
    <w:p>
      <w:pPr>
        <w:pStyle w:val="FirstParagraph"/>
      </w:pPr>
      <w:r>
        <w:t xml:space="preserve">Every AI endpoint the AHG plugins can call is described by a row in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: a friendly model name, the HTTP endpoint, the service it serves, and an optional operator-curated</w:t>
      </w:r>
      <w:r>
        <w:t xml:space="preserve"> </w:t>
      </w:r>
      <w:r>
        <w:rPr>
          <w:bCs/>
          <w:b/>
        </w:rPr>
        <w:t xml:space="preserve">model manifest</w:t>
      </w:r>
      <w:r>
        <w:t xml:space="preserve">. The API key for each endpoint is stored in that table but is never exposed through the dashboard or its JSON endpoints.</w:t>
      </w:r>
    </w:p>
    <w:bookmarkEnd w:id="22"/>
    <w:bookmarkStart w:id="23" w:name="model-manifest"/>
    <w:p>
      <w:pPr>
        <w:pStyle w:val="Heading2"/>
      </w:pPr>
      <w:r>
        <w:t xml:space="preserve">Model manifest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model manifest</w:t>
      </w:r>
      <w:r>
        <w:t xml:space="preserve"> </w:t>
      </w:r>
      <w:r>
        <w:t xml:space="preserve">is a small JSON object that captures the identity and material configuration of a model at the moment it ran: model name, version, endpoint, decoding parameters, and any operator notes. It exists so that a result can be reproduced and audited even years later, after the live model has been upgraded or retired.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Operator-curated manifest</w:t>
      </w:r>
      <w:r>
        <w:t xml:space="preserve"> </w:t>
      </w:r>
      <w:r>
        <w:t xml:space="preserve">- an optional JSON blob maintained on the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 </w:t>
      </w:r>
      <w:r>
        <w:t xml:space="preserve">row. Use it for things the system cannot discover automatically: licence terms, training-data provenance, a model card URL, an internal approval reference.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Per-inference manifest</w:t>
      </w:r>
      <w:r>
        <w:t xml:space="preserve"> </w:t>
      </w:r>
      <w:r>
        <w:t xml:space="preserve">- a snapshot stored on the</w:t>
      </w:r>
      <w:r>
        <w:t xml:space="preserve"> </w:t>
      </w:r>
      <w:r>
        <w:rPr>
          <w:rStyle w:val="VerbatimChar"/>
        </w:rPr>
        <w:t xml:space="preserve">ahg_ai_inference.model_manifest</w:t>
      </w:r>
      <w:r>
        <w:t xml:space="preserve"> </w:t>
      </w:r>
      <w:r>
        <w:t xml:space="preserve">column when an inference is recorded.</w:t>
      </w:r>
    </w:p>
    <w:p>
      <w:pPr>
        <w:pStyle w:val="FirstParagraph"/>
      </w:pPr>
      <w:r>
        <w:t xml:space="preserve">The dashboard shows a key-count badge for each inference’s manifest. The</w:t>
      </w:r>
      <w:r>
        <w:t xml:space="preserve"> </w:t>
      </w:r>
      <w:r>
        <w:rPr>
          <w:rStyle w:val="VerbatimChar"/>
        </w:rPr>
        <w:t xml:space="preserve">model_manifest</w:t>
      </w:r>
      <w:r>
        <w:t xml:space="preserve"> </w:t>
      </w:r>
      <w:r>
        <w:t xml:space="preserve">columns exist on both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.</w:t>
      </w:r>
    </w:p>
    <w:bookmarkEnd w:id="23"/>
    <w:bookmarkStart w:id="24" w:name="inference-recording-and-signing"/>
    <w:p>
      <w:pPr>
        <w:pStyle w:val="Heading2"/>
      </w:pPr>
      <w:r>
        <w:t xml:space="preserve">Inference recording and signing</w:t>
      </w:r>
    </w:p>
    <w:p>
      <w:pPr>
        <w:pStyle w:val="FirstParagraph"/>
      </w:pPr>
      <w:r>
        <w:t xml:space="preserve">The AHG plugins record every AI inference they perform - NER, summarisation and HTR - into the</w:t>
      </w:r>
      <w:r>
        <w:t xml:space="preserve"> </w:t>
      </w:r>
      <w:r>
        <w:rPr>
          <w:rStyle w:val="VerbatimChar"/>
        </w:rPr>
        <w:t xml:space="preserve">ahg_ai_inference</w:t>
      </w:r>
      <w:r>
        <w:t xml:space="preserve"> </w:t>
      </w:r>
      <w:r>
        <w:t xml:space="preserve">table, through the</w:t>
      </w:r>
      <w:r>
        <w:t xml:space="preserve"> </w:t>
      </w:r>
      <w:r>
        <w:rPr>
          <w:rStyle w:val="VerbatimChar"/>
        </w:rPr>
        <w:t xml:space="preserve">InferenceService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ahgProvenancePlugin</w:t>
      </w:r>
      <w:r>
        <w:t xml:space="preserve">. Each row captures the model identity, sha256 hashes of the input and output, confidence, the target record and field, and a per-inference model manifest.</w:t>
      </w:r>
    </w:p>
    <w:p>
      <w:pPr>
        <w:pStyle w:val="BodyText"/>
      </w:pPr>
      <w:r>
        <w:t xml:space="preserve">Each recorded inference is</w:t>
      </w:r>
      <w:r>
        <w:t xml:space="preserve"> </w:t>
      </w:r>
      <w:r>
        <w:rPr>
          <w:bCs/>
          <w:b/>
        </w:rPr>
        <w:t xml:space="preserve">Ed25519-signed</w:t>
      </w:r>
      <w:r>
        <w:t xml:space="preserve">:</w:t>
      </w:r>
      <w:r>
        <w:t xml:space="preserve"> </w:t>
      </w:r>
      <w:r>
        <w:rPr>
          <w:rStyle w:val="VerbatimChar"/>
        </w:rPr>
        <w:t xml:space="preserve">InferenceService</w:t>
      </w:r>
      <w:r>
        <w:t xml:space="preserve"> </w:t>
      </w:r>
      <w:r>
        <w:t xml:space="preserve">builds a canonical, key-sorted manifest of the inference and signs it with libsodium. The signature and the signing key’s identifier are stored on the</w:t>
      </w:r>
      <w:r>
        <w:t xml:space="preserve"> </w:t>
      </w:r>
      <w:r>
        <w:rPr>
          <w:rStyle w:val="VerbatimChar"/>
        </w:rPr>
        <w:t xml:space="preserve">ahg_ai_inference.signature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signer_key_id</w:t>
      </w:r>
      <w:r>
        <w:t xml:space="preserve"> </w:t>
      </w:r>
      <w:r>
        <w:t xml:space="preserve">columns, and the dashboard’s</w:t>
      </w:r>
      <w:r>
        <w:t xml:space="preserve"> </w:t>
      </w:r>
      <w:r>
        <w:rPr>
          <w:bCs/>
          <w:b/>
        </w:rPr>
        <w:t xml:space="preserve">signed</w:t>
      </w:r>
      <w:r>
        <w:t xml:space="preserve"> </w:t>
      </w:r>
      <w:r>
        <w:t xml:space="preserve">column reads them directly. Verifying a signature deterministically proves the manifest has not changed since it was recorded.</w:t>
      </w:r>
    </w:p>
    <w:p>
      <w:pPr>
        <w:pStyle w:val="BodyText"/>
      </w:pPr>
      <w:r>
        <w:t xml:space="preserve">Signing is opt-in. Generate the operator keypair once:</w:t>
      </w:r>
    </w:p>
    <w:p>
      <w:pPr>
        <w:pStyle w:val="SourceCode"/>
      </w:pPr>
      <w:r>
        <w:rPr>
          <w:rStyle w:val="VerbatimChar"/>
        </w:rPr>
        <w:t xml:space="preserve">php symfony ai-provenance:keygen</w:t>
      </w:r>
    </w:p>
    <w:p>
      <w:pPr>
        <w:pStyle w:val="FirstParagraph"/>
      </w:pPr>
      <w:r>
        <w:t xml:space="preserve">The private key is written to the AtoM install’s</w:t>
      </w:r>
      <w:r>
        <w:t xml:space="preserve"> </w:t>
      </w:r>
      <w:r>
        <w:rPr>
          <w:rStyle w:val="VerbatimChar"/>
        </w:rPr>
        <w:t xml:space="preserve">data/ahg-ai-signing/</w:t>
      </w:r>
      <w:r>
        <w:t xml:space="preserve"> </w:t>
      </w:r>
      <w:r>
        <w:t xml:space="preserve">directory - never in the database, never in git. Until the keypair exists, inferences are recorded unsigned. Two companion tasks support audits: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ai-provenance:verify</w:t>
      </w:r>
      <w:r>
        <w:t xml:space="preserve"> </w:t>
      </w:r>
      <w:r>
        <w:t xml:space="preserve">- re-checks recorded signatures against the public key.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ai-provenance:replay</w:t>
      </w:r>
      <w:r>
        <w:t xml:space="preserve"> </w:t>
      </w:r>
      <w:r>
        <w:t xml:space="preserve">- retries any deferred Fuseki provenance writes; run it from cron every few minutes.</w:t>
      </w:r>
    </w:p>
    <w:p>
      <w:pPr>
        <w:pStyle w:val="FirstParagraph"/>
      </w:pPr>
      <w:r>
        <w:t xml:space="preserve">Reviewer corrections are recorded into</w:t>
      </w:r>
      <w:r>
        <w:t xml:space="preserve"> </w:t>
      </w:r>
      <w:r>
        <w:rPr>
          <w:rStyle w:val="VerbatimChar"/>
        </w:rPr>
        <w:t xml:space="preserve">ahg_ai_override</w:t>
      </w:r>
      <w:r>
        <w:t xml:space="preserve"> </w:t>
      </w:r>
      <w:r>
        <w:t xml:space="preserve">without ever overwriting the original inference.</w:t>
      </w:r>
    </w:p>
    <w:bookmarkEnd w:id="24"/>
    <w:bookmarkStart w:id="25" w:name="rag-guardrails"/>
    <w:p>
      <w:pPr>
        <w:pStyle w:val="Heading2"/>
      </w:pPr>
      <w:r>
        <w:t xml:space="preserve">RAG guardrails</w:t>
      </w:r>
    </w:p>
    <w:p>
      <w:pPr>
        <w:pStyle w:val="FirstParagraph"/>
      </w:pPr>
      <w:r>
        <w:t xml:space="preserve">Every LLM call the AHG plugins make passes through a policy guardrail before the prompt is dispatched, with the generated text checked for grounding afterwards. The guardrails enforce three things: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Data-scope policy.</w:t>
      </w:r>
      <w:r>
        <w:t xml:space="preserve"> </w:t>
      </w:r>
      <w:r>
        <w:t xml:space="preserve">A cloud provider may only receive data scopes on the allow-list; local providers carry any scope because the data never leaves the trust domain. Out-of-scope data to a cloud provider is blocked, and email addresses and long number sequences in cloud-bound prompts are masked.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 limitation.</w:t>
      </w:r>
      <w:r>
        <w:t xml:space="preserve"> </w:t>
      </w:r>
      <w:r>
        <w:t xml:space="preserve">Each request declares a purpose, which must be in the operator-sanctioned set, else it is blocked or flagged.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Grounding / hallucination check.</w:t>
      </w:r>
      <w:r>
        <w:t xml:space="preserve"> </w:t>
      </w:r>
      <w:r>
        <w:t xml:space="preserve">When a call supplies its retrieved sources, the generated output is scored against them; ungrounded output is flagged as a possible hallucination.</w:t>
      </w:r>
    </w:p>
    <w:p>
      <w:pPr>
        <w:pStyle w:val="FirstParagraph"/>
      </w:pPr>
      <w:r>
        <w:t xml:space="preserve">One setting,</w:t>
      </w:r>
      <w:r>
        <w:t xml:space="preserve"> </w:t>
      </w:r>
      <w:r>
        <w:rPr>
          <w:rStyle w:val="VerbatimChar"/>
        </w:rPr>
        <w:t xml:space="preserve">rag_guardrail_mode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- compute and flag, but never block or alter), sets the enforcement strength. The five</w:t>
      </w:r>
      <w:r>
        <w:t xml:space="preserve"> </w:t>
      </w:r>
      <w:r>
        <w:rPr>
          <w:rStyle w:val="VerbatimChar"/>
        </w:rPr>
        <w:t xml:space="preserve">rag_*</w:t>
      </w:r>
      <w:r>
        <w:t xml:space="preserve"> </w:t>
      </w:r>
      <w:r>
        <w:t xml:space="preserve">settings live in</w:t>
      </w:r>
      <w:r>
        <w:t xml:space="preserve"> </w:t>
      </w:r>
      <w:r>
        <w:rPr>
          <w:rStyle w:val="VerbatimChar"/>
        </w:rPr>
        <w:t xml:space="preserve">ahg_ai_settings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feature = guardrails</w:t>
      </w:r>
      <w:r>
        <w:t xml:space="preserve">, with the same keys and defaults as the Heratio side. The guardrail verdict is returned on every LLM result. The guardrail layer is fail-open: a bug in the policy code never denies the AI service, though a deliberate block always blocks.</w:t>
      </w:r>
    </w:p>
    <w:bookmarkEnd w:id="25"/>
    <w:bookmarkStart w:id="26" w:name="how-ai-requests-are-routed"/>
    <w:p>
      <w:pPr>
        <w:pStyle w:val="Heading2"/>
      </w:pPr>
      <w:r>
        <w:t xml:space="preserve">How AI requests are routed</w:t>
      </w:r>
    </w:p>
    <w:p>
      <w:pPr>
        <w:pStyle w:val="FirstParagraph"/>
      </w:pPr>
      <w:r>
        <w:t xml:space="preserve">All AI traffic flows through one place: the</w:t>
      </w:r>
      <w:r>
        <w:t xml:space="preserve"> </w:t>
      </w:r>
      <w:r>
        <w:rPr>
          <w:bCs/>
          <w:b/>
        </w:rPr>
        <w:t xml:space="preserve">AI gateway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https://ai.theahg.co.za/ai/v1/...</w:t>
      </w:r>
      <w:r>
        <w:t xml:space="preserve">. The gateway authenticates each request with a bearer token, routes it to whichever GPU worker is healthy, and logs it.</w:t>
      </w:r>
    </w:p>
    <w:p>
      <w:pPr>
        <w:pStyle w:val="BodyText"/>
      </w:pPr>
      <w:r>
        <w:t xml:space="preserve">Handwriting transcription (HTR) is routed through the gateway:</w:t>
      </w:r>
    </w:p>
    <w:p>
      <w:pPr>
        <w:numPr>
          <w:ilvl w:val="0"/>
          <w:numId w:val="1006"/>
        </w:numPr>
        <w:pStyle w:val="Compact"/>
      </w:pPr>
      <w:r>
        <w:t xml:space="preserve">The HTR endpoint is resolved from the</w:t>
      </w:r>
      <w:r>
        <w:t xml:space="preserve"> </w:t>
      </w:r>
      <w:r>
        <w:rPr>
          <w:rStyle w:val="VerbatimChar"/>
          <w:bCs/>
          <w:b/>
        </w:rPr>
        <w:t xml:space="preserve">app_htr_url</w:t>
      </w:r>
      <w:r>
        <w:t xml:space="preserve"> </w:t>
      </w:r>
      <w:r>
        <w:t xml:space="preserve">configuration value (the gateway HTR endpoint) - no hostnames are hardcoded in the action code.</w:t>
      </w:r>
    </w:p>
    <w:p>
      <w:pPr>
        <w:numPr>
          <w:ilvl w:val="0"/>
          <w:numId w:val="1006"/>
        </w:numPr>
        <w:pStyle w:val="Compact"/>
      </w:pPr>
      <w:r>
        <w:t xml:space="preserve">Every HTR call carries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token rather than the older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header.</w:t>
      </w:r>
    </w:p>
    <w:p>
      <w:pPr>
        <w:pStyle w:val="FirstParagraph"/>
      </w:pPr>
      <w:r>
        <w:t xml:space="preserve">This keeps HTR requests authenticated and visible in the gateway’s audit trail alongside NER, translation and summarisation.</w:t>
      </w:r>
    </w:p>
    <w:bookmarkEnd w:id="26"/>
    <w:bookmarkStart w:id="27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Cs/>
          <w:b/>
        </w:rPr>
        <w:t xml:space="preserve">Does opening this page run any models or change records?</w:t>
      </w:r>
      <w:r>
        <w:t xml:space="preserve"> </w:t>
      </w:r>
      <w:r>
        <w:t xml:space="preserve">No. It is entirely read-only.</w:t>
      </w:r>
    </w:p>
    <w:p>
      <w:pPr>
        <w:pStyle w:val="BodyText"/>
      </w:pPr>
      <w:r>
        <w:rPr>
          <w:bCs/>
          <w:b/>
        </w:rPr>
        <w:t xml:space="preserve">Where are API keys?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ahg_llm_config</w:t>
      </w:r>
      <w:r>
        <w:t xml:space="preserve">, never shown here. The dashboard only reports whether a key is present.</w:t>
      </w:r>
    </w:p>
    <w:p>
      <w:pPr>
        <w:pStyle w:val="BodyText"/>
      </w:pPr>
      <w:r>
        <w:rPr>
          <w:bCs/>
          <w:b/>
        </w:rPr>
        <w:t xml:space="preserve">Can I export this for an audit?</w:t>
      </w:r>
      <w:r>
        <w:t xml:space="preserve"> </w:t>
      </w:r>
      <w:r>
        <w:t xml:space="preserve">Yes - the</w:t>
      </w:r>
      <w:r>
        <w:t xml:space="preserve"> </w:t>
      </w:r>
      <w:r>
        <w:rPr>
          <w:rStyle w:val="VerbatimChar"/>
        </w:rPr>
        <w:t xml:space="preserve">/ai/governance/models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/ai/governance/inferences</w:t>
      </w:r>
      <w:r>
        <w:t xml:space="preserve"> </w:t>
      </w:r>
      <w:r>
        <w:t xml:space="preserve">JSON endpoints give you the inventory and the inference log in machine-readable form.</w:t>
      </w:r>
    </w:p>
    <w:bookmarkEnd w:id="27"/>
    <w:bookmarkStart w:id="28" w:name="see-also"/>
    <w:p>
      <w:pPr>
        <w:pStyle w:val="Heading2"/>
      </w:pPr>
      <w:r>
        <w:t xml:space="preserve">See also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Tools</w:t>
      </w:r>
      <w:r>
        <w:t xml:space="preserve"> </w:t>
      </w:r>
      <w:r>
        <w:t xml:space="preserve">- using NER, HTR, summarisation and translation day to day.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Provenance Tracking</w:t>
      </w:r>
      <w:r>
        <w:t xml:space="preserve"> </w:t>
      </w:r>
      <w:r>
        <w:t xml:space="preserve">- provenance for catalogue records generally.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Inventory &amp; Governance</dc:title>
  <dc:creator>The Archive and Heritage Group (Pty) Ltd</dc:creator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