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DOI Management - User Guide</w:t>
      </w:r>
    </w:p>
    <w:p>
      <w:pPr>
        <w:pStyle w:val="Author"/>
      </w:pPr>
      <w:r>
        <w:t xml:space="preserve">The Archive and Heritage Group (Pty) Ltd</w:t>
      </w:r>
    </w:p>
    <w:bookmarkStart w:id="56" w:name="doi-management---user-guide"/>
    <w:p>
      <w:pPr>
        <w:pStyle w:val="Heading1"/>
      </w:pPr>
      <w:r>
        <w:t xml:space="preserve">DOI Management - User Guide</w:t>
      </w:r>
    </w:p>
    <w:bookmarkStart w:id="20" w:name="what-is-a-doi"/>
    <w:p>
      <w:pPr>
        <w:pStyle w:val="Heading2"/>
      </w:pPr>
      <w:r>
        <w:t xml:space="preserve">What is a DOI?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Digital Object Identifier (DOI)</w:t>
      </w:r>
      <w:r>
        <w:t xml:space="preserve"> </w:t>
      </w:r>
      <w:r>
        <w:t xml:space="preserve">is a persistent, unique identifier for digital content. DOIs are globally recognized and ensure that your archival records can be reliably cited and found, even if URLs change.</w:t>
      </w:r>
    </w:p>
    <w:p>
      <w:pPr>
        <w:pStyle w:val="BodyText"/>
      </w:pPr>
      <w:r>
        <w:t xml:space="preserve">Example DOI:</w:t>
      </w:r>
      <w:r>
        <w:t xml:space="preserve"> </w:t>
      </w:r>
      <w:r>
        <w:rPr>
          <w:rStyle w:val="VerbatimChar"/>
        </w:rPr>
        <w:t xml:space="preserve">10.12345/archive.2024.00001</w:t>
      </w:r>
    </w:p>
    <w:p>
      <w:pPr>
        <w:pStyle w:val="BodyText"/>
      </w:pPr>
      <w:r>
        <w:t xml:space="preserve">When someone visits</w:t>
      </w:r>
      <w:r>
        <w:t xml:space="preserve"> </w:t>
      </w:r>
      <w:r>
        <w:rPr>
          <w:rStyle w:val="VerbatimChar"/>
        </w:rPr>
        <w:t xml:space="preserve">https://doi.org/10.12345/archive.2024.00001</w:t>
      </w:r>
      <w:r>
        <w:t xml:space="preserve">, they are automatically redirected to your record.</w:t>
      </w:r>
    </w:p>
    <w:p>
      <w:r>
        <w:pict>
          <v:rect style="width:0;height:1.5pt" o:hralign="center" o:hrstd="t" o:hr="t"/>
        </w:pict>
      </w:r>
    </w:p>
    <w:bookmarkEnd w:id="20"/>
    <w:bookmarkStart w:id="21" w:name="why-use-dois"/>
    <w:p>
      <w:pPr>
        <w:pStyle w:val="Heading2"/>
      </w:pPr>
      <w:r>
        <w:t xml:space="preserve">Why Use DOIs?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change, DOIs don’t - citations remain valid 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can properly cite your records in 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are indexed by DataCite, Google Scholar, and academic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how often your records are accessed via DOI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many funding agencies and journals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oi-states"/>
    <w:p>
      <w:pPr>
        <w:pStyle w:val="Heading2"/>
      </w:pPr>
      <w:r>
        <w:t xml:space="preserve">DOI States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DOI LIFECYCLE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+---------+      +------------+      +-----------+             |</w:t>
      </w:r>
      <w:r>
        <w:br/>
      </w:r>
      <w:r>
        <w:rPr>
          <w:rStyle w:val="VerbatimChar"/>
        </w:rPr>
        <w:t xml:space="preserve">|   |  DRAFT  | ---&gt; | REGISTERED | ---&gt; | FINDABLE  |             |</w:t>
      </w:r>
      <w:r>
        <w:br/>
      </w:r>
      <w:r>
        <w:rPr>
          <w:rStyle w:val="VerbatimChar"/>
        </w:rPr>
        <w:t xml:space="preserve">|   +---------+      +------------+      +-----------+             |</w:t>
      </w:r>
      <w:r>
        <w:br/>
      </w:r>
      <w:r>
        <w:rPr>
          <w:rStyle w:val="VerbatimChar"/>
        </w:rPr>
        <w:t xml:space="preserve">|       |                 |                    |                    |</w:t>
      </w:r>
      <w:r>
        <w:br/>
      </w:r>
      <w:r>
        <w:rPr>
          <w:rStyle w:val="VerbatimChar"/>
        </w:rPr>
        <w:t xml:space="preserve">|       |                 |                    |                    |</w:t>
      </w:r>
      <w:r>
        <w:br/>
      </w:r>
      <w:r>
        <w:rPr>
          <w:rStyle w:val="VerbatimChar"/>
        </w:rPr>
        <w:t xml:space="preserve">|   Reserved          DOI exists           DOI resolves            |</w:t>
      </w:r>
      <w:r>
        <w:br/>
      </w:r>
      <w:r>
        <w:rPr>
          <w:rStyle w:val="VerbatimChar"/>
        </w:rPr>
        <w:t xml:space="preserve">|   in DataCite       but hidden           and is public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                       |                                        |</w:t>
      </w:r>
      <w:r>
        <w:br/>
      </w:r>
      <w:r>
        <w:rPr>
          <w:rStyle w:val="VerbatimChar"/>
        </w:rPr>
        <w:t xml:space="preserve">|                          v                                        |</w:t>
      </w:r>
      <w:r>
        <w:br/>
      </w:r>
      <w:r>
        <w:rPr>
          <w:rStyle w:val="VerbatimChar"/>
        </w:rPr>
        <w:t xml:space="preserve">|                    +-----------+                                  |</w:t>
      </w:r>
      <w:r>
        <w:br/>
      </w:r>
      <w:r>
        <w:rPr>
          <w:rStyle w:val="VerbatimChar"/>
        </w:rPr>
        <w:t xml:space="preserve">|                    |  DELETED  |  (Tombstone page shown)          |</w:t>
      </w:r>
      <w:r>
        <w:br/>
      </w:r>
      <w:r>
        <w:rPr>
          <w:rStyle w:val="VerbatimChar"/>
        </w:rPr>
        <w:t xml:space="preserve">|                    +-----------+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DataCite Search?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 DOI before publishing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works but not publicly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public and discoverable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removed, shows explanation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doi-dashboard"/>
    <w:p>
      <w:pPr>
        <w:pStyle w:val="Heading2"/>
      </w:pPr>
      <w:r>
        <w:t xml:space="preserve">DOI Dashboard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 -&gt; DOI Management</w:t>
      </w:r>
    </w:p>
    <w:p>
      <w:pPr>
        <w:pStyle w:val="BodyText"/>
      </w:pPr>
      <w:r>
        <w:t xml:space="preserve">The dashboard shows:</w:t>
      </w:r>
      <w:r>
        <w:t xml:space="preserve"> </w:t>
      </w:r>
      <w:r>
        <w:t xml:space="preserve">- Total DOIs minted</w:t>
      </w:r>
      <w:r>
        <w:t xml:space="preserve"> </w:t>
      </w:r>
      <w:r>
        <w:t xml:space="preserve">- DOIs by status (Findable, Registered, Draft, Failed)</w:t>
      </w:r>
      <w:r>
        <w:t xml:space="preserve"> </w:t>
      </w:r>
      <w:r>
        <w:t xml:space="preserve">- Queue pending count</w:t>
      </w:r>
      <w:r>
        <w:t xml:space="preserve"> </w:t>
      </w:r>
      <w:r>
        <w:t xml:space="preserve">- Recently minted DOIs</w:t>
      </w:r>
    </w:p>
    <w:bookmarkStart w:id="23" w:name="quick-actions"/>
    <w:p>
      <w:pPr>
        <w:pStyle w:val="Heading3"/>
      </w:pPr>
      <w:r>
        <w:t xml:space="preserve">Quick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DOIs for multiple records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Bulk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DOI metadata in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DOI list as CSV or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DataCite API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inting-a-doi"/>
    <w:p>
      <w:pPr>
        <w:pStyle w:val="Heading2"/>
      </w:pPr>
      <w:r>
        <w:t xml:space="preserve">Minting a DOI</w:t>
      </w:r>
    </w:p>
    <w:bookmarkStart w:id="25" w:name="method-1-from-record-page"/>
    <w:p>
      <w:pPr>
        <w:pStyle w:val="Heading3"/>
      </w:pPr>
      <w:r>
        <w:t xml:space="preserve">Method 1: From Record Page</w:t>
      </w:r>
    </w:p>
    <w:p>
      <w:pPr>
        <w:numPr>
          <w:ilvl w:val="0"/>
          <w:numId w:val="1001"/>
        </w:numPr>
        <w:pStyle w:val="Compact"/>
      </w:pPr>
      <w:r>
        <w:t xml:space="preserve">Navigate to any archival record</w:t>
      </w:r>
    </w:p>
    <w:p>
      <w:pPr>
        <w:numPr>
          <w:ilvl w:val="0"/>
          <w:numId w:val="1001"/>
        </w:numPr>
        <w:pStyle w:val="Compact"/>
      </w:pPr>
      <w:r>
        <w:t xml:space="preserve">Look for the DOI badge in the header area</w:t>
      </w:r>
    </w:p>
    <w:p>
      <w:pPr>
        <w:numPr>
          <w:ilvl w:val="0"/>
          <w:numId w:val="1001"/>
        </w:numPr>
        <w:pStyle w:val="Compact"/>
      </w:pPr>
      <w:r>
        <w:t xml:space="preserve">If no DOI exists,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Mint DOI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Confirm the action</w:t>
      </w:r>
    </w:p>
    <w:p>
      <w:pPr>
        <w:numPr>
          <w:ilvl w:val="0"/>
          <w:numId w:val="1001"/>
        </w:numPr>
        <w:pStyle w:val="Compact"/>
      </w:pPr>
      <w:r>
        <w:t xml:space="preserve">DOI is minted and displayed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Record: Annual Report 1952        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+---------------------------------------------+           |</w:t>
      </w:r>
      <w:r>
        <w:br/>
      </w:r>
      <w:r>
        <w:rPr>
          <w:rStyle w:val="VerbatimChar"/>
        </w:rPr>
        <w:t xml:space="preserve">|  | DOI: 10.12345/archive.2024.00001           |           |</w:t>
      </w:r>
      <w:r>
        <w:br/>
      </w:r>
      <w:r>
        <w:rPr>
          <w:rStyle w:val="VerbatimChar"/>
        </w:rPr>
        <w:t xml:space="preserve">|  |    Status: Findable                         |           |</w:t>
      </w:r>
      <w:r>
        <w:br/>
      </w:r>
      <w:r>
        <w:rPr>
          <w:rStyle w:val="VerbatimChar"/>
        </w:rPr>
        <w:t xml:space="preserve">|  |    [View on DataCite] [Update Metadata]     |           |</w:t>
      </w:r>
      <w:r>
        <w:br/>
      </w:r>
      <w:r>
        <w:rPr>
          <w:rStyle w:val="VerbatimChar"/>
        </w:rPr>
        <w:t xml:space="preserve">|  +---------------------------------------------+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OR (if no DOI):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+---------------------------------------------+           |</w:t>
      </w:r>
      <w:r>
        <w:br/>
      </w:r>
      <w:r>
        <w:rPr>
          <w:rStyle w:val="VerbatimChar"/>
        </w:rPr>
        <w:t xml:space="preserve">|  | [Mint DOI]  (Admin only)                   |           |</w:t>
      </w:r>
      <w:r>
        <w:br/>
      </w:r>
      <w:r>
        <w:rPr>
          <w:rStyle w:val="VerbatimChar"/>
        </w:rPr>
        <w:t xml:space="preserve">|  +---------------------------------------------+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</w:p>
    <w:bookmarkEnd w:id="25"/>
    <w:bookmarkStart w:id="26" w:name="method-2-batch-minting"/>
    <w:p>
      <w:pPr>
        <w:pStyle w:val="Heading3"/>
      </w:pPr>
      <w:r>
        <w:t xml:space="preserve">Method 2: Batch Minting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-&gt; DOI Management -&gt; Batch Mint</w:t>
      </w:r>
    </w:p>
    <w:p>
      <w:pPr>
        <w:numPr>
          <w:ilvl w:val="0"/>
          <w:numId w:val="1002"/>
        </w:numPr>
        <w:pStyle w:val="Compact"/>
      </w:pPr>
      <w:r>
        <w:t xml:space="preserve">Select records by:</w:t>
      </w:r>
    </w:p>
    <w:p>
      <w:pPr>
        <w:numPr>
          <w:ilvl w:val="1"/>
          <w:numId w:val="1003"/>
        </w:numPr>
        <w:pStyle w:val="Compact"/>
      </w:pPr>
      <w:r>
        <w:t xml:space="preserve">Repository</w:t>
      </w:r>
    </w:p>
    <w:p>
      <w:pPr>
        <w:numPr>
          <w:ilvl w:val="1"/>
          <w:numId w:val="1003"/>
        </w:numPr>
        <w:pStyle w:val="Compact"/>
      </w:pPr>
      <w:r>
        <w:t xml:space="preserve">Level of description</w:t>
      </w:r>
    </w:p>
    <w:p>
      <w:pPr>
        <w:numPr>
          <w:ilvl w:val="1"/>
          <w:numId w:val="1003"/>
        </w:numPr>
        <w:pStyle w:val="Compact"/>
      </w:pPr>
      <w:r>
        <w:t xml:space="preserve">Publication status</w:t>
      </w:r>
    </w:p>
    <w:p>
      <w:pPr>
        <w:numPr>
          <w:ilvl w:val="1"/>
          <w:numId w:val="1003"/>
        </w:numPr>
        <w:pStyle w:val="Compact"/>
      </w:pPr>
      <w:r>
        <w:t xml:space="preserve">Date range</w:t>
      </w:r>
    </w:p>
    <w:p>
      <w:pPr>
        <w:numPr>
          <w:ilvl w:val="0"/>
          <w:numId w:val="1002"/>
        </w:numPr>
        <w:pStyle w:val="Compact"/>
      </w:pPr>
      <w:r>
        <w:t xml:space="preserve">Preview selected records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Mint DOIs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Records are queued for minting</w:t>
      </w:r>
    </w:p>
    <w:bookmarkEnd w:id="26"/>
    <w:bookmarkStart w:id="27" w:name="method-3-auto-mint-if-configured"/>
    <w:p>
      <w:pPr>
        <w:pStyle w:val="Heading3"/>
      </w:pPr>
      <w:r>
        <w:t xml:space="preserve">Method 3: Auto-Mint (If Configured)</w:t>
      </w:r>
    </w:p>
    <w:p>
      <w:pPr>
        <w:pStyle w:val="FirstParagraph"/>
      </w:pPr>
      <w:r>
        <w:t xml:space="preserve">When enabled, DOIs are automatically minted when:</w:t>
      </w:r>
      <w:r>
        <w:t xml:space="preserve"> </w:t>
      </w:r>
      <w:r>
        <w:t xml:space="preserve">- A record is published</w:t>
      </w:r>
      <w:r>
        <w:t xml:space="preserve"> </w:t>
      </w:r>
      <w:r>
        <w:t xml:space="preserve">- Record meets configured criteria (level, repository, etc.)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anaging-dois"/>
    <w:p>
      <w:pPr>
        <w:pStyle w:val="Heading2"/>
      </w:pPr>
      <w:r>
        <w:t xml:space="preserve">Managing DOIs</w:t>
      </w:r>
    </w:p>
    <w:bookmarkStart w:id="29" w:name="view-doi-details"/>
    <w:p>
      <w:pPr>
        <w:pStyle w:val="Heading3"/>
      </w:pPr>
      <w:r>
        <w:t xml:space="preserve">View DOI Details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-&gt; DOI Management -&gt; Browse</w:t>
      </w:r>
    </w:p>
    <w:p>
      <w:pPr>
        <w:numPr>
          <w:ilvl w:val="0"/>
          <w:numId w:val="1004"/>
        </w:numPr>
        <w:pStyle w:val="Compact"/>
      </w:pPr>
      <w:r>
        <w:t xml:space="preserve">Click on any DOI to see:</w:t>
      </w:r>
    </w:p>
    <w:p>
      <w:pPr>
        <w:numPr>
          <w:ilvl w:val="1"/>
          <w:numId w:val="1005"/>
        </w:numPr>
        <w:pStyle w:val="Compact"/>
      </w:pPr>
      <w:r>
        <w:t xml:space="preserve">Full metadata</w:t>
      </w:r>
    </w:p>
    <w:p>
      <w:pPr>
        <w:numPr>
          <w:ilvl w:val="1"/>
          <w:numId w:val="1005"/>
        </w:numPr>
        <w:pStyle w:val="Compact"/>
      </w:pPr>
      <w:r>
        <w:t xml:space="preserve">Resolution status</w:t>
      </w:r>
    </w:p>
    <w:p>
      <w:pPr>
        <w:numPr>
          <w:ilvl w:val="1"/>
          <w:numId w:val="1005"/>
        </w:numPr>
        <w:pStyle w:val="Compact"/>
      </w:pPr>
      <w:r>
        <w:t xml:space="preserve">Minting history</w:t>
      </w:r>
    </w:p>
    <w:p>
      <w:pPr>
        <w:numPr>
          <w:ilvl w:val="1"/>
          <w:numId w:val="1005"/>
        </w:numPr>
        <w:pStyle w:val="Compact"/>
      </w:pPr>
      <w:r>
        <w:t xml:space="preserve">DataCite sync status</w:t>
      </w:r>
    </w:p>
    <w:bookmarkEnd w:id="29"/>
    <w:bookmarkStart w:id="30" w:name="update-doi-metadata"/>
    <w:p>
      <w:pPr>
        <w:pStyle w:val="Heading3"/>
      </w:pPr>
      <w:r>
        <w:t xml:space="preserve">Update DOI Metadata</w:t>
      </w:r>
    </w:p>
    <w:p>
      <w:pPr>
        <w:pStyle w:val="FirstParagraph"/>
      </w:pPr>
      <w:r>
        <w:t xml:space="preserve">When record metadata changes, the DOI metadata in DataCite should be updated: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Automatic:</w:t>
      </w:r>
      <w:r>
        <w:t xml:space="preserve"> </w:t>
      </w:r>
      <w:r>
        <w:t xml:space="preserve">Bulk Sync updates all DOIs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Manual: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on individual DOI view</w:t>
      </w:r>
    </w:p>
    <w:p>
      <w:pPr>
        <w:pStyle w:val="SourceCode"/>
      </w:pPr>
      <w:r>
        <w:rPr>
          <w:rStyle w:val="CommentTok"/>
        </w:rPr>
        <w:t xml:space="preserve"># CLI: Sync all DOI metadata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doi:sync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CLI: Sync specific DOI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doi:sync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</w:p>
    <w:bookmarkEnd w:id="30"/>
    <w:bookmarkStart w:id="31" w:name="verify-doi-resolution"/>
    <w:p>
      <w:pPr>
        <w:pStyle w:val="Heading3"/>
      </w:pPr>
      <w:r>
        <w:t xml:space="preserve">Verify DOI Resolution</w:t>
      </w:r>
    </w:p>
    <w:p>
      <w:pPr>
        <w:numPr>
          <w:ilvl w:val="0"/>
          <w:numId w:val="1007"/>
        </w:numPr>
        <w:pStyle w:val="Compact"/>
      </w:pPr>
      <w:r>
        <w:t xml:space="preserve">Go to DOI view page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 Resolution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System checks if DOI resolves correctly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eactivating-dois"/>
    <w:p>
      <w:pPr>
        <w:pStyle w:val="Heading2"/>
      </w:pPr>
      <w:r>
        <w:t xml:space="preserve">Deactivating DOIs</w:t>
      </w:r>
    </w:p>
    <w:p>
      <w:pPr>
        <w:pStyle w:val="FirstParagraph"/>
      </w:pPr>
      <w:r>
        <w:t xml:space="preserve">When a record is deleted or should no longer be accessible:</w:t>
      </w:r>
    </w:p>
    <w:bookmarkStart w:id="33" w:name="via-web-interface"/>
    <w:p>
      <w:pPr>
        <w:pStyle w:val="Heading3"/>
      </w:pPr>
      <w:r>
        <w:t xml:space="preserve">Via Web Interface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-&gt; DOI Management -&gt; Browse</w:t>
      </w:r>
    </w:p>
    <w:p>
      <w:pPr>
        <w:numPr>
          <w:ilvl w:val="0"/>
          <w:numId w:val="1008"/>
        </w:numPr>
        <w:pStyle w:val="Compact"/>
      </w:pPr>
      <w:r>
        <w:t xml:space="preserve">Find the DOI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Deactivate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Enter reason for deactivation</w:t>
      </w:r>
    </w:p>
    <w:p>
      <w:pPr>
        <w:numPr>
          <w:ilvl w:val="0"/>
          <w:numId w:val="1008"/>
        </w:numPr>
        <w:pStyle w:val="Compact"/>
      </w:pPr>
      <w:r>
        <w:t xml:space="preserve">Confirm</w:t>
      </w:r>
    </w:p>
    <w:bookmarkEnd w:id="33"/>
    <w:bookmarkStart w:id="34" w:name="via-cli"/>
    <w:p>
      <w:pPr>
        <w:pStyle w:val="Heading3"/>
      </w:pPr>
      <w:r>
        <w:t xml:space="preserve">Via CLI</w:t>
      </w:r>
    </w:p>
    <w:p>
      <w:pPr>
        <w:pStyle w:val="SourceCode"/>
      </w:pPr>
      <w:r>
        <w:rPr>
          <w:rStyle w:val="CommentTok"/>
        </w:rPr>
        <w:t xml:space="preserve"># Deactivate by DOI record ID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doi:deactivate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 deleted"</w:t>
      </w:r>
      <w:r>
        <w:br/>
      </w:r>
      <w:r>
        <w:br/>
      </w:r>
      <w:r>
        <w:rPr>
          <w:rStyle w:val="CommentTok"/>
        </w:rPr>
        <w:t xml:space="preserve"># Deactivate by object ID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doi:deactivate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456 </w:t>
      </w:r>
      <w:r>
        <w:rPr>
          <w:rStyle w:val="AttributeTok"/>
        </w:rPr>
        <w:t xml:space="preserve">--reason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"Duplicate record"</w:t>
      </w:r>
      <w:r>
        <w:br/>
      </w:r>
      <w:r>
        <w:br/>
      </w:r>
      <w:r>
        <w:rPr>
          <w:rStyle w:val="CommentTok"/>
        </w:rPr>
        <w:t xml:space="preserve"># List all deactivated DOIs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doi:deactivate </w:t>
      </w:r>
      <w:r>
        <w:rPr>
          <w:rStyle w:val="AttributeTok"/>
        </w:rPr>
        <w:t xml:space="preserve">--list-deleted</w:t>
      </w:r>
    </w:p>
    <w:bookmarkEnd w:id="34"/>
    <w:bookmarkStart w:id="35" w:name="what-happens"/>
    <w:p>
      <w:pPr>
        <w:pStyle w:val="Heading3"/>
      </w:pPr>
      <w:r>
        <w:t xml:space="preserve">What Happens?</w:t>
      </w:r>
    </w:p>
    <w:p>
      <w:pPr>
        <w:numPr>
          <w:ilvl w:val="0"/>
          <w:numId w:val="1009"/>
        </w:numPr>
        <w:pStyle w:val="Compact"/>
      </w:pPr>
      <w:r>
        <w:t xml:space="preserve">DOI state changes to</w:t>
      </w:r>
      <w:r>
        <w:t xml:space="preserve"> </w:t>
      </w:r>
      <w:r>
        <w:t xml:space="preserve">“</w:t>
      </w:r>
      <w:r>
        <w:t xml:space="preserve">deleted</w:t>
      </w:r>
      <w:r>
        <w:t xml:space="preserve">”</w:t>
      </w:r>
      <w:r>
        <w:t xml:space="preserve"> </w:t>
      </w:r>
      <w:r>
        <w:t xml:space="preserve">in DataCite</w:t>
      </w:r>
    </w:p>
    <w:p>
      <w:pPr>
        <w:numPr>
          <w:ilvl w:val="0"/>
          <w:numId w:val="1009"/>
        </w:numPr>
        <w:pStyle w:val="Compact"/>
      </w:pPr>
      <w:r>
        <w:t xml:space="preserve">DOI still resolves but shows a tombstone page</w:t>
      </w:r>
    </w:p>
    <w:p>
      <w:pPr>
        <w:numPr>
          <w:ilvl w:val="0"/>
          <w:numId w:val="1009"/>
        </w:numPr>
        <w:pStyle w:val="Compact"/>
      </w:pPr>
      <w:r>
        <w:t xml:space="preserve">Record remains in your database for audit</w:t>
      </w:r>
    </w:p>
    <w:p>
      <w:pPr>
        <w:numPr>
          <w:ilvl w:val="0"/>
          <w:numId w:val="1009"/>
        </w:numPr>
        <w:pStyle w:val="Compact"/>
      </w:pPr>
      <w:r>
        <w:t xml:space="preserve">Can be reactivated if needed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queue-management"/>
    <w:p>
      <w:pPr>
        <w:pStyle w:val="Heading2"/>
      </w:pPr>
      <w:r>
        <w:t xml:space="preserve">Queue Management</w:t>
      </w:r>
    </w:p>
    <w:p>
      <w:pPr>
        <w:pStyle w:val="FirstParagraph"/>
      </w:pPr>
      <w:r>
        <w:t xml:space="preserve">DOI operations are processed via a queue to avoid API rate limits:</w:t>
      </w:r>
    </w:p>
    <w:p>
      <w:pPr>
        <w:numPr>
          <w:ilvl w:val="0"/>
          <w:numId w:val="1010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-&gt; DOI Management -&gt; Queue</w:t>
      </w:r>
    </w:p>
    <w:p>
      <w:pPr>
        <w:numPr>
          <w:ilvl w:val="0"/>
          <w:numId w:val="1010"/>
        </w:numPr>
        <w:pStyle w:val="Compact"/>
      </w:pPr>
      <w:r>
        <w:t xml:space="preserve">View pending, processing, completed, and failed jobs</w:t>
      </w:r>
    </w:p>
    <w:p>
      <w:pPr>
        <w:numPr>
          <w:ilvl w:val="0"/>
          <w:numId w:val="1010"/>
        </w:numPr>
        <w:pStyle w:val="Compact"/>
      </w:pPr>
      <w:r>
        <w:t xml:space="preserve">Retry failed jobs</w:t>
      </w:r>
    </w:p>
    <w:p>
      <w:pPr>
        <w:numPr>
          <w:ilvl w:val="0"/>
          <w:numId w:val="1010"/>
        </w:numPr>
        <w:pStyle w:val="Compact"/>
      </w:pPr>
      <w:r>
        <w:t xml:space="preserve">Cancel pending jobs</w:t>
      </w:r>
    </w:p>
    <w:bookmarkStart w:id="37" w:name="queue-statuses"/>
    <w:p>
      <w:pPr>
        <w:pStyle w:val="Heading3"/>
      </w:pPr>
      <w:r>
        <w:t xml:space="preserve">Queue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to be 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being minted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minted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occurred (can retry)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export-doi-data"/>
    <w:p>
      <w:pPr>
        <w:pStyle w:val="Heading2"/>
      </w:pPr>
      <w:r>
        <w:t xml:space="preserve">Export DOI Data</w:t>
      </w:r>
    </w:p>
    <w:bookmarkStart w:id="39" w:name="via-web-interface-1"/>
    <w:p>
      <w:pPr>
        <w:pStyle w:val="Heading3"/>
      </w:pPr>
      <w:r>
        <w:t xml:space="preserve">Via Web Interface</w:t>
      </w:r>
    </w:p>
    <w:p>
      <w:pPr>
        <w:numPr>
          <w:ilvl w:val="0"/>
          <w:numId w:val="1011"/>
        </w:numPr>
        <w:pStyle w:val="Compact"/>
      </w:pPr>
      <w:r>
        <w:t xml:space="preserve">Go to DOI Dashboard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dropdown</w:t>
      </w:r>
    </w:p>
    <w:p>
      <w:pPr>
        <w:numPr>
          <w:ilvl w:val="0"/>
          <w:numId w:val="1011"/>
        </w:numPr>
        <w:pStyle w:val="Compact"/>
      </w:pPr>
      <w:r>
        <w:t xml:space="preserve">Choose CSV or JSON format</w:t>
      </w:r>
    </w:p>
    <w:p>
      <w:pPr>
        <w:numPr>
          <w:ilvl w:val="0"/>
          <w:numId w:val="1011"/>
        </w:numPr>
        <w:pStyle w:val="Compact"/>
      </w:pPr>
      <w:r>
        <w:t xml:space="preserve">File downloads automatically</w:t>
      </w:r>
    </w:p>
    <w:bookmarkEnd w:id="39"/>
    <w:bookmarkStart w:id="40" w:name="export-columns"/>
    <w:p>
      <w:pPr>
        <w:pStyle w:val="Heading3"/>
      </w:pPr>
      <w:r>
        <w:t xml:space="preserve">Export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DOI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DOI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DOI was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 -&gt; DOI Management -&gt; Reports</w:t>
      </w:r>
    </w:p>
    <w:p>
      <w:pPr>
        <w:pStyle w:val="BodyText"/>
      </w:pPr>
      <w:r>
        <w:t xml:space="preserve">Available reports:</w:t>
      </w:r>
      <w:r>
        <w:t xml:space="preserve"> </w:t>
      </w:r>
      <w:r>
        <w:t xml:space="preserve">- DOIs minted per month</w:t>
      </w:r>
      <w:r>
        <w:t xml:space="preserve"> </w:t>
      </w:r>
      <w:r>
        <w:t xml:space="preserve">- DOIs by repository</w:t>
      </w:r>
      <w:r>
        <w:t xml:space="preserve"> </w:t>
      </w:r>
      <w:r>
        <w:t xml:space="preserve">- DOIs by status</w:t>
      </w:r>
      <w:r>
        <w:t xml:space="preserve"> </w:t>
      </w:r>
      <w:r>
        <w:t xml:space="preserve">- Failed minting attempts</w:t>
      </w:r>
      <w:r>
        <w:t xml:space="preserve"> </w:t>
      </w:r>
      <w:r>
        <w:t xml:space="preserve">- Queue processing times</w:t>
      </w:r>
    </w:p>
    <w:p>
      <w:r>
        <w:pict>
          <v:rect style="width:0;height:1.5pt" o:hralign="center" o:hrstd="t" o:hr="t"/>
        </w:pict>
      </w:r>
    </w:p>
    <w:bookmarkEnd w:id="42"/>
    <w:bookmarkStart w:id="46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 -&gt; DOI Management -&gt; Configuration</w:t>
      </w:r>
    </w:p>
    <w:bookmarkStart w:id="43" w:name="required-settings"/>
    <w:p>
      <w:pPr>
        <w:pStyle w:val="Heading3"/>
      </w:pPr>
      <w:r>
        <w:t xml:space="preserve">Required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DataCite Repository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DataCite repository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DataCite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password from DataCite Fabrica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DOI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assigned prefix (e.g., 10.12345)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or Production</w:t>
            </w:r>
          </w:p>
        </w:tc>
      </w:tr>
    </w:tbl>
    <w:bookmarkEnd w:id="43"/>
    <w:bookmarkStart w:id="44" w:name="optional-settings"/>
    <w:p>
      <w:pPr>
        <w:pStyle w:val="Heading3"/>
      </w:pPr>
      <w:r>
        <w:t xml:space="preserve">Optional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mint DOIs on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DOI state (draft, registered, findable)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for target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Sub-prefix for organization</w:t>
            </w:r>
          </w:p>
        </w:tc>
      </w:tr>
    </w:tbl>
    <w:bookmarkEnd w:id="44"/>
    <w:bookmarkStart w:id="45" w:name="test-connection"/>
    <w:p>
      <w:pPr>
        <w:pStyle w:val="Heading3"/>
      </w:pPr>
      <w:r>
        <w:t xml:space="preserve">Test Connection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Connection</w:t>
      </w:r>
      <w:r>
        <w:rPr>
          <w:bCs/>
          <w:b/>
        </w:rPr>
        <w:t xml:space="preserve">”</w:t>
      </w:r>
      <w:r>
        <w:t xml:space="preserve"> </w:t>
      </w:r>
      <w:r>
        <w:t xml:space="preserve">to verify your DataCite credentials before saving.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li-commands"/>
    <w:p>
      <w:pPr>
        <w:pStyle w:val="Heading2"/>
      </w:pPr>
      <w:r>
        <w:t xml:space="preserve">CLI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doi:mint --id=X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 for record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doi:mint --all --limit=100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mint with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doi:sync 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all DOI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doi:sync --status=findable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only findable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doi:deactivate --id=X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doi:deactivate --reactivate --id=X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DOI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ron-jobs"/>
    <w:p>
      <w:pPr>
        <w:pStyle w:val="Heading2"/>
      </w:pPr>
      <w:r>
        <w:t xml:space="preserve">Cron Jobs</w:t>
      </w:r>
    </w:p>
    <w:p>
      <w:pPr>
        <w:pStyle w:val="FirstParagraph"/>
      </w:pPr>
      <w:r>
        <w:t xml:space="preserve">Set up automatic DOI processing:</w:t>
      </w:r>
    </w:p>
    <w:p>
      <w:pPr>
        <w:pStyle w:val="SourceCode"/>
      </w:pPr>
      <w:r>
        <w:rPr>
          <w:rStyle w:val="CommentTok"/>
        </w:rPr>
        <w:t xml:space="preserve"># Process DOI queue every 5 minutes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doi:process-queue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/var/log/atom/doi.log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Weekly metadata sync (Sundays at 4 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doi:sync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/var/log/atom/doi-sync.log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8"/>
    <w:bookmarkStart w:id="52" w:name="troubleshooting"/>
    <w:p>
      <w:pPr>
        <w:pStyle w:val="Heading2"/>
      </w:pPr>
      <w:r>
        <w:t xml:space="preserve">Troubleshooting</w:t>
      </w:r>
    </w:p>
    <w:bookmarkStart w:id="49" w:name="doi-not-resolving"/>
    <w:p>
      <w:pPr>
        <w:pStyle w:val="Heading3"/>
      </w:pPr>
      <w:r>
        <w:t xml:space="preserve">DOI Not Resolving</w:t>
      </w:r>
    </w:p>
    <w:p>
      <w:pPr>
        <w:numPr>
          <w:ilvl w:val="0"/>
          <w:numId w:val="1012"/>
        </w:numPr>
        <w:pStyle w:val="Compact"/>
      </w:pPr>
      <w:r>
        <w:t xml:space="preserve">Check DOI status is</w:t>
      </w:r>
      <w:r>
        <w:t xml:space="preserve"> </w:t>
      </w:r>
      <w:r>
        <w:t xml:space="preserve">“</w:t>
      </w:r>
      <w:r>
        <w:t xml:space="preserve">findable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registered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Verify target URL is accessible</w:t>
      </w:r>
    </w:p>
    <w:p>
      <w:pPr>
        <w:numPr>
          <w:ilvl w:val="0"/>
          <w:numId w:val="1012"/>
        </w:numPr>
        <w:pStyle w:val="Compact"/>
      </w:pPr>
      <w:r>
        <w:t xml:space="preserve">Allow 24 hours for DataCite propagation</w:t>
      </w:r>
    </w:p>
    <w:p>
      <w:pPr>
        <w:numPr>
          <w:ilvl w:val="0"/>
          <w:numId w:val="1012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Verify Resolution</w:t>
      </w:r>
      <w:r>
        <w:t xml:space="preserve">”</w:t>
      </w:r>
      <w:r>
        <w:t xml:space="preserve"> </w:t>
      </w:r>
      <w:r>
        <w:t xml:space="preserve">to check</w:t>
      </w:r>
    </w:p>
    <w:bookmarkEnd w:id="49"/>
    <w:bookmarkStart w:id="50" w:name="minting-failed"/>
    <w:p>
      <w:pPr>
        <w:pStyle w:val="Heading3"/>
      </w:pPr>
      <w:r>
        <w:t xml:space="preserve">Minting Failed</w:t>
      </w:r>
    </w:p>
    <w:p>
      <w:pPr>
        <w:numPr>
          <w:ilvl w:val="0"/>
          <w:numId w:val="1013"/>
        </w:numPr>
        <w:pStyle w:val="Compact"/>
      </w:pPr>
      <w:r>
        <w:t xml:space="preserve">Check queue for error message</w:t>
      </w:r>
    </w:p>
    <w:p>
      <w:pPr>
        <w:numPr>
          <w:ilvl w:val="0"/>
          <w:numId w:val="1013"/>
        </w:numPr>
        <w:pStyle w:val="Compact"/>
      </w:pPr>
      <w:r>
        <w:t xml:space="preserve">Verify DataCite credentials</w:t>
      </w:r>
    </w:p>
    <w:p>
      <w:pPr>
        <w:numPr>
          <w:ilvl w:val="0"/>
          <w:numId w:val="1013"/>
        </w:numPr>
        <w:pStyle w:val="Compact"/>
      </w:pPr>
      <w:r>
        <w:t xml:space="preserve">Check required metadata is present (title, creator, year)</w:t>
      </w:r>
    </w:p>
    <w:p>
      <w:pPr>
        <w:numPr>
          <w:ilvl w:val="0"/>
          <w:numId w:val="1013"/>
        </w:numPr>
        <w:pStyle w:val="Compact"/>
      </w:pPr>
      <w:r>
        <w:t xml:space="preserve">Ensure API quota not exceeded</w:t>
      </w:r>
    </w:p>
    <w:bookmarkEnd w:id="50"/>
    <w:bookmarkStart w:id="51" w:name="metadata-not-updating"/>
    <w:p>
      <w:pPr>
        <w:pStyle w:val="Heading3"/>
      </w:pPr>
      <w:r>
        <w:t xml:space="preserve">Metadata Not Updating</w:t>
      </w:r>
    </w:p>
    <w:p>
      <w:pPr>
        <w:numPr>
          <w:ilvl w:val="0"/>
          <w:numId w:val="101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php symfony doi:sync --id=X</w:t>
      </w:r>
      <w:r>
        <w:t xml:space="preserve"> </w:t>
      </w:r>
      <w:r>
        <w:t xml:space="preserve">for specific DOI</w:t>
      </w:r>
    </w:p>
    <w:p>
      <w:pPr>
        <w:numPr>
          <w:ilvl w:val="0"/>
          <w:numId w:val="1014"/>
        </w:numPr>
        <w:pStyle w:val="Compact"/>
      </w:pPr>
      <w:r>
        <w:t xml:space="preserve">Check DataCite API response</w:t>
      </w:r>
    </w:p>
    <w:p>
      <w:pPr>
        <w:numPr>
          <w:ilvl w:val="0"/>
          <w:numId w:val="1014"/>
        </w:numPr>
        <w:pStyle w:val="Compact"/>
      </w:pPr>
      <w:r>
        <w:t xml:space="preserve">Verify record has all required fields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Test First</w:t>
      </w:r>
      <w:r>
        <w:t xml:space="preserve">: Use DataCite test environment before production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Batch Wisely</w:t>
      </w:r>
      <w:r>
        <w:t xml:space="preserve">: Don’t mint DOIs for unpublished records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Monitor Queue</w:t>
      </w:r>
      <w:r>
        <w:t xml:space="preserve">: Check failed jobs regularly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Sync Regularly</w:t>
      </w:r>
      <w:r>
        <w:t xml:space="preserve">: Keep DOI metadata current with records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Document</w:t>
      </w:r>
      <w:r>
        <w:t xml:space="preserve">: Add DOI policy to your repository guidelines</w:t>
      </w:r>
    </w:p>
    <w:p>
      <w:r>
        <w:pict>
          <v:rect style="width:0;height:1.5pt" o:hralign="center" o:hrstd="t" o:hr="t"/>
        </w:pict>
      </w:r>
    </w:p>
    <w:bookmarkEnd w:id="53"/>
    <w:bookmarkStart w:id="54" w:name="integration-with-other-systems"/>
    <w:p>
      <w:pPr>
        <w:pStyle w:val="Heading2"/>
      </w:pPr>
      <w:r>
        <w:t xml:space="preserve">Integration with Other Systems</w:t>
      </w:r>
    </w:p>
    <w:p>
      <w:pPr>
        <w:pStyle w:val="FirstParagraph"/>
      </w:pPr>
      <w:r>
        <w:t xml:space="preserve">The DOI is available via: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/api/doi/status/{recordId}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OAI-PMH</w:t>
      </w:r>
      <w:r>
        <w:t xml:space="preserve">: Included in Dublin Core exports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EAD3</w:t>
      </w:r>
      <w:r>
        <w:t xml:space="preserve">: Added to</w:t>
      </w:r>
      <w:r>
        <w:t xml:space="preserve"> </w:t>
      </w:r>
      <w:r>
        <w:rPr>
          <w:rStyle w:val="VerbatimChar"/>
        </w:rPr>
        <w:t xml:space="preserve">&lt;unitid&gt;</w:t>
      </w:r>
      <w:r>
        <w:t xml:space="preserve"> </w:t>
      </w:r>
      <w:r>
        <w:t xml:space="preserve">element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Record Display</w:t>
      </w:r>
      <w:r>
        <w:t xml:space="preserve">: Badge shown on public pages</w:t>
      </w:r>
    </w:p>
    <w:p>
      <w:r>
        <w:pict>
          <v:rect style="width:0;height:1.5pt" o:hralign="center" o:hrstd="t" o:hr="t"/>
        </w:pict>
      </w:r>
    </w:p>
    <w:bookmarkEnd w:id="54"/>
    <w:bookmarkStart w:id="55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DataCite Support</w:t>
      </w:r>
      <w:r>
        <w:t xml:space="preserve">: https://support.datacite.org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 Environment</w:t>
      </w:r>
      <w:r>
        <w:t xml:space="preserve">: https://doi.test.datacite.org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 Administrator</w:t>
      </w:r>
      <w:r>
        <w:t xml:space="preserve">: For API credential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February 2026</w:t>
      </w:r>
      <w:r>
        <w:t xml:space="preserve"> </w:t>
      </w:r>
      <w:r>
        <w:rPr>
          <w:iCs/>
          <w:i/>
        </w:rPr>
        <w:t xml:space="preserve">Part of the AHG Extensions for AtoM 2.10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DOI Management - User Guide</dc:title>
  <dc:creator>The Archive and Heritage Group (Pty) Ltd</dc:creator>
  <cp:keywords/>
  <dcterms:created xsi:type="dcterms:W3CDTF">2026-06-03T17:40:03Z</dcterms:created>
  <dcterms:modified xsi:type="dcterms:W3CDTF">2026-06-03T17:40:03Z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