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Exhibition spaces — front-of-house space allocation</w:t>
      </w:r>
    </w:p>
    <w:p>
      <w:pPr>
        <w:pStyle w:val="Author"/>
      </w:pPr>
      <w:r>
        <w:t xml:space="preserve">The Archive and Heritage Group (Pty) Ltd</w:t>
      </w:r>
    </w:p>
    <w:bookmarkStart w:id="29" w:name="X22e75872949acaa60cb48e7309d39f2d5485ef3"/>
    <w:p>
      <w:pPr>
        <w:pStyle w:val="Heading1"/>
      </w:pPr>
      <w:r>
        <w:t xml:space="preserve">Exhibition spaces — front-of-house space allocation</w:t>
      </w:r>
    </w:p>
    <w:p>
      <w:pPr>
        <w:pStyle w:val="FirstParagraph"/>
      </w:pPr>
      <w:r>
        <w:t xml:space="preserve">Where the</w:t>
      </w:r>
      <w:r>
        <w:t xml:space="preserve"> </w:t>
      </w:r>
      <w:r>
        <w:rPr>
          <w:bCs/>
          <w:b/>
        </w:rPr>
        <w:t xml:space="preserve">Strongrooms</w:t>
      </w:r>
      <w:r>
        <w:t xml:space="preserve"> </w:t>
      </w:r>
      <w:r>
        <w:t xml:space="preserve">module manages back-of-house storage,</w:t>
      </w:r>
      <w:r>
        <w:t xml:space="preserve"> </w:t>
      </w:r>
      <w:r>
        <w:rPr>
          <w:bCs/>
          <w:b/>
        </w:rPr>
        <w:t xml:space="preserve">Exhibition spaces</w:t>
      </w:r>
      <w:r>
        <w:t xml:space="preserve"> </w:t>
      </w:r>
      <w:r>
        <w:t xml:space="preserve">manages your front-of-house: galleries, halls, display cases, plinths, vitrines. It tracks how much physical or wall space each room has, what’s currently on display, and warns you before you over-commit a space.</w:t>
      </w:r>
    </w:p>
    <w:bookmarkStart w:id="20" w:name="whats-different-from-strongrooms"/>
    <w:p>
      <w:pPr>
        <w:pStyle w:val="Heading2"/>
      </w:pPr>
      <w:r>
        <w:t xml:space="preserve">What’s different from Strongrooms?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Strongrooms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Exhibition spaces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Back-of-house storage (curators, registrars)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Front-of-house display (curators, exhibition designers)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What’s placed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Physical objects (boxes, crates, archival storage units)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Information objects — artworks, artefacts, the records that have an</w:t>
            </w:r>
            <w:r>
              <w:t xml:space="preserve"> </w:t>
            </w:r>
            <w:r>
              <w:rPr>
                <w:rStyle w:val="VerbatimChar"/>
              </w:rPr>
              <w:t xml:space="preserve">informationobject</w:t>
            </w:r>
            <w:r>
              <w:t xml:space="preserve"> </w:t>
            </w:r>
            <w:r>
              <w:t xml:space="preserve">page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Time-boundedness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Open-ended (object lives in the strongroom until moved)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Date-bounded</w:t>
            </w:r>
            <w:r>
              <w:t xml:space="preserve"> </w:t>
            </w:r>
            <w:r>
              <w:t xml:space="preserve">(an exhibit is in a gallery from Jun 1 to Aug 31)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Capacity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Boxes, shelves, linear metres, cubic metres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Linear wall metres, display cases, plinths, square metres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Capacity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used vs total capacity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used</w:t>
            </w:r>
            <w:r>
              <w:t xml:space="preserve"> </w:t>
            </w:r>
            <w:r>
              <w:rPr>
                <w:bCs/>
                <w:b/>
              </w:rPr>
              <w:t xml:space="preserve">during the requested date range</w:t>
            </w:r>
            <w:r>
              <w:t xml:space="preserve"> </w:t>
            </w:r>
            <w:r>
              <w:t xml:space="preserve">vs capacity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Extra metadata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 description, 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Building, floor, lighting lux target (optional)</w:t>
            </w:r>
          </w:p>
        </w:tc>
      </w:tr>
    </w:tbl>
    <w:bookmarkEnd w:id="20"/>
    <w:bookmarkStart w:id="21" w:name="adding-an-exhibition-space"/>
    <w:p>
      <w:pPr>
        <w:pStyle w:val="Heading2"/>
      </w:pPr>
      <w:r>
        <w:t xml:space="preserve">Adding an exhibition space</w:t>
      </w:r>
    </w:p>
    <w:p>
      <w:pPr>
        <w:numPr>
          <w:ilvl w:val="0"/>
          <w:numId w:val="1001"/>
        </w:numPr>
        <w:pStyle w:val="Compact"/>
      </w:pPr>
      <w:r>
        <w:t xml:space="preserve">Go to</w:t>
      </w:r>
      <w:r>
        <w:t xml:space="preserve"> </w:t>
      </w:r>
      <w:r>
        <w:rPr>
          <w:bCs/>
          <w:b/>
        </w:rPr>
        <w:t xml:space="preserve">AHG Plugins → Exhibition spaces</w:t>
      </w:r>
      <w:r>
        <w:t xml:space="preserve"> </w:t>
      </w:r>
      <w:r>
        <w:t xml:space="preserve">(or the</w:t>
      </w:r>
      <w:r>
        <w:t xml:space="preserve"> </w:t>
      </w:r>
      <w:r>
        <w:rPr>
          <w:rStyle w:val="VerbatimChar"/>
        </w:rPr>
        <w:t xml:space="preserve">/exhibition-space/browse</w:t>
      </w:r>
      <w:r>
        <w:t xml:space="preserve"> </w:t>
      </w:r>
      <w:r>
        <w:t xml:space="preserve">URL).</w:t>
      </w:r>
    </w:p>
    <w:p>
      <w:pPr>
        <w:numPr>
          <w:ilvl w:val="0"/>
          <w:numId w:val="1001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Add exhibition space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Fill in: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Name</w:t>
      </w:r>
      <w:r>
        <w:t xml:space="preserve"> </w:t>
      </w:r>
      <w:r>
        <w:t xml:space="preserve">(required) — e.g. </w:t>
      </w:r>
      <w:r>
        <w:rPr>
          <w:iCs/>
          <w:i/>
        </w:rPr>
        <w:t xml:space="preserve">“</w:t>
      </w:r>
      <w:r>
        <w:rPr>
          <w:iCs/>
          <w:i/>
        </w:rPr>
        <w:t xml:space="preserve">Gallery 3 – Modern Wing</w:t>
      </w:r>
      <w:r>
        <w:rPr>
          <w:iCs/>
          <w:i/>
        </w:rPr>
        <w:t xml:space="preserve">”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Type</w:t>
      </w:r>
      <w:r>
        <w:t xml:space="preserve"> </w:t>
      </w:r>
      <w:r>
        <w:t xml:space="preserve">— Gallery / Hall / Display case / Plinth / Vitrine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Building</w:t>
      </w:r>
      <w:r>
        <w:t xml:space="preserve"> </w:t>
      </w:r>
      <w:r>
        <w:t xml:space="preserve">+</w:t>
      </w:r>
      <w:r>
        <w:t xml:space="preserve"> </w:t>
      </w:r>
      <w:r>
        <w:rPr>
          <w:bCs/>
          <w:b/>
        </w:rPr>
        <w:t xml:space="preserve">Floor</w:t>
      </w:r>
      <w:r>
        <w:t xml:space="preserve"> </w:t>
      </w:r>
      <w:r>
        <w:t xml:space="preserve">(optional but useful for large institutions)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Capacity</w:t>
      </w:r>
      <w:r>
        <w:t xml:space="preserve"> </w:t>
      </w:r>
      <w:r>
        <w:t xml:space="preserve">+</w:t>
      </w:r>
      <w:r>
        <w:t xml:space="preserve"> </w:t>
      </w:r>
      <w:r>
        <w:rPr>
          <w:bCs/>
          <w:b/>
        </w:rPr>
        <w:t xml:space="preserve">Unit</w:t>
      </w:r>
      <w:r>
        <w:t xml:space="preserve"> </w:t>
      </w:r>
      <w:r>
        <w:t xml:space="preserve">— leave blank if you don’t want capacity enforcement; otherwise pick a unit (linear wall metres, display cases, plinths, square metres) and enter the number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Lighting target (lux)</w:t>
      </w:r>
      <w:r>
        <w:t xml:space="preserve"> </w:t>
      </w:r>
      <w:r>
        <w:t xml:space="preserve">— optional, captures the target light level for conservation purposes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Notes</w:t>
      </w:r>
    </w:p>
    <w:p>
      <w:pPr>
        <w:numPr>
          <w:ilvl w:val="0"/>
          <w:numId w:val="1001"/>
        </w:numPr>
        <w:pStyle w:val="Compact"/>
      </w:pPr>
      <w:r>
        <w:t xml:space="preserve">Save. You’ll land on the space’s detail page where you can start adding placements.</w:t>
      </w:r>
    </w:p>
    <w:bookmarkEnd w:id="21"/>
    <w:bookmarkStart w:id="22" w:name="placing-an-information-object-in-a-space"/>
    <w:p>
      <w:pPr>
        <w:pStyle w:val="Heading2"/>
      </w:pPr>
      <w:r>
        <w:t xml:space="preserve">Placing an information object in a space</w:t>
      </w:r>
    </w:p>
    <w:p>
      <w:pPr>
        <w:pStyle w:val="FirstParagraph"/>
      </w:pPr>
      <w:r>
        <w:t xml:space="preserve">From the exhibition space’s detail page:</w:t>
      </w:r>
    </w:p>
    <w:p>
      <w:pPr>
        <w:numPr>
          <w:ilvl w:val="0"/>
          <w:numId w:val="1003"/>
        </w:numPr>
        <w:pStyle w:val="Compact"/>
      </w:pPr>
      <w:r>
        <w:t xml:space="preserve">Scroll to the</w:t>
      </w:r>
      <w:r>
        <w:t xml:space="preserve"> </w:t>
      </w:r>
      <w:r>
        <w:rPr>
          <w:bCs/>
          <w:b/>
        </w:rPr>
        <w:t xml:space="preserve">Add a placement</w:t>
      </w:r>
      <w:r>
        <w:t xml:space="preserve"> </w:t>
      </w:r>
      <w:r>
        <w:t xml:space="preserve">form at the bottom.</w:t>
      </w:r>
    </w:p>
    <w:p>
      <w:pPr>
        <w:numPr>
          <w:ilvl w:val="0"/>
          <w:numId w:val="1003"/>
        </w:numPr>
        <w:pStyle w:val="Compact"/>
      </w:pPr>
      <w:r>
        <w:t xml:space="preserve">Enter the</w:t>
      </w:r>
      <w:r>
        <w:t xml:space="preserve"> </w:t>
      </w:r>
      <w:r>
        <w:rPr>
          <w:bCs/>
          <w:b/>
        </w:rPr>
        <w:t xml:space="preserve">Information object ID</w:t>
      </w:r>
      <w:r>
        <w:t xml:space="preserve"> </w:t>
      </w:r>
      <w:r>
        <w:t xml:space="preserve">— the numeric id of the record (e.g. </w:t>
      </w:r>
      <w:r>
        <w:rPr>
          <w:rStyle w:val="VerbatimChar"/>
        </w:rPr>
        <w:t xml:space="preserve">1234</w:t>
      </w:r>
      <w:r>
        <w:t xml:space="preserve">). Tip: the id appears in the URL when you view an information object.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Units used</w:t>
      </w:r>
      <w:r>
        <w:t xml:space="preserve"> </w:t>
      </w:r>
      <w:r>
        <w:t xml:space="preserve">— how much of the space’s capacity this placement consumes. For a wall-mounted painting needing 2.5 linear metres, enter</w:t>
      </w:r>
      <w:r>
        <w:t xml:space="preserve"> </w:t>
      </w:r>
      <w:r>
        <w:rPr>
          <w:rStyle w:val="VerbatimChar"/>
        </w:rPr>
        <w:t xml:space="preserve">2.5</w:t>
      </w:r>
      <w:r>
        <w:t xml:space="preserve">. For a sculpture on its own plinth, enter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(one plinth).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Starts</w:t>
      </w:r>
      <w:r>
        <w:t xml:space="preserve"> </w:t>
      </w:r>
      <w:r>
        <w:t xml:space="preserve">+</w:t>
      </w:r>
      <w:r>
        <w:t xml:space="preserve"> </w:t>
      </w:r>
      <w:r>
        <w:rPr>
          <w:bCs/>
          <w:b/>
        </w:rPr>
        <w:t xml:space="preserve">Ends</w:t>
      </w:r>
      <w:r>
        <w:t xml:space="preserve"> </w:t>
      </w:r>
      <w:r>
        <w:t xml:space="preserve">— the date range the object will be on display. Leave both blank for an open-ended placement (rare but supported).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Notes</w:t>
      </w:r>
      <w:r>
        <w:t xml:space="preserve"> </w:t>
      </w:r>
      <w:r>
        <w:t xml:space="preserve">— optional remarks about the placement.</w:t>
      </w:r>
    </w:p>
    <w:p>
      <w:pPr>
        <w:numPr>
          <w:ilvl w:val="0"/>
          <w:numId w:val="1003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Place</w:t>
      </w:r>
      <w:r>
        <w:t xml:space="preserve">.</w:t>
      </w:r>
    </w:p>
    <w:bookmarkEnd w:id="22"/>
    <w:bookmarkStart w:id="23" w:name="capacity-is-date-aware"/>
    <w:p>
      <w:pPr>
        <w:pStyle w:val="Heading2"/>
      </w:pPr>
      <w:r>
        <w:t xml:space="preserve">Capacity is date-aware</w:t>
      </w:r>
    </w:p>
    <w:p>
      <w:pPr>
        <w:pStyle w:val="FirstParagraph"/>
      </w:pPr>
      <w:r>
        <w:t xml:space="preserve">This is the most important difference from strongrooms. Two placements only</w:t>
      </w:r>
      <w:r>
        <w:t xml:space="preserve"> </w:t>
      </w:r>
      <w:r>
        <w:rPr>
          <w:bCs/>
          <w:b/>
        </w:rPr>
        <w:t xml:space="preserve">conflict</w:t>
      </w:r>
      <w:r>
        <w:t xml:space="preserve"> </w:t>
      </w:r>
      <w:r>
        <w:t xml:space="preserve">if their date ranges overlap.</w:t>
      </w:r>
    </w:p>
    <w:p>
      <w:pPr>
        <w:pStyle w:val="BodyText"/>
      </w:pPr>
      <w:r>
        <w:t xml:space="preserve">Example: Gallery 3 has a 10 linear-metre wall.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Placement A</w:t>
      </w:r>
      <w:r>
        <w:t xml:space="preserve"> </w:t>
      </w:r>
      <w:r>
        <w:t xml:space="preserve">— Painting X, uses 8 m, Jun 1 – Aug 31. ✓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Placement B</w:t>
      </w:r>
      <w:r>
        <w:t xml:space="preserve"> </w:t>
      </w:r>
      <w:r>
        <w:t xml:space="preserve">— Painting Y, uses 9 m, Sep 1 – Nov 30. ✓ (No overlap. Even though 8+9=17 exceeds 10, they’re not in the gallery at the same time.)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Placement C</w:t>
      </w:r>
      <w:r>
        <w:t xml:space="preserve"> </w:t>
      </w:r>
      <w:r>
        <w:t xml:space="preserve">— Sculpture Z, uses 5 m, Jul 15 – Sep 30. ✗</w:t>
      </w:r>
      <w:r>
        <w:t xml:space="preserve"> </w:t>
      </w:r>
      <w:r>
        <w:rPr>
          <w:bCs/>
          <w:b/>
        </w:rPr>
        <w:t xml:space="preserve">Rejected</w:t>
      </w:r>
      <w:r>
        <w:t xml:space="preserve"> </w:t>
      </w:r>
      <w:r>
        <w:t xml:space="preserve">— between Jul 15 and Aug 31, this would put 8+5=13 m on a 10 m wall.</w:t>
      </w:r>
    </w:p>
    <w:p>
      <w:pPr>
        <w:pStyle w:val="FirstParagraph"/>
      </w:pPr>
      <w:r>
        <w:t xml:space="preserve">When a placement is rejected for over-capacity, the system tells you the date range and the amount of overflow, so you can shrink the placement, shift its dates, or pick a different space.</w:t>
      </w:r>
    </w:p>
    <w:bookmarkEnd w:id="23"/>
    <w:bookmarkStart w:id="24" w:name="removing-a-placement"/>
    <w:p>
      <w:pPr>
        <w:pStyle w:val="Heading2"/>
      </w:pPr>
      <w:r>
        <w:t xml:space="preserve">Removing a placement</w:t>
      </w:r>
    </w:p>
    <w:p>
      <w:pPr>
        <w:pStyle w:val="FirstParagraph"/>
      </w:pPr>
      <w:r>
        <w:t xml:space="preserve">From the space’s detail page, each placement row has a delete button (visible to logged-in users). Removing a placement frees up the capacity immediately for that date range.</w:t>
      </w:r>
    </w:p>
    <w:bookmarkEnd w:id="24"/>
    <w:bookmarkStart w:id="25" w:name="browsing-your-spaces"/>
    <w:p>
      <w:pPr>
        <w:pStyle w:val="Heading2"/>
      </w:pPr>
      <w:r>
        <w:t xml:space="preserve">Browsing your spaces</w:t>
      </w:r>
    </w:p>
    <w:p>
      <w:pPr>
        <w:pStyle w:val="FirstParagraph"/>
      </w:pPr>
      <w:r>
        <w:t xml:space="preserve">The browse page (</w:t>
      </w:r>
      <w:r>
        <w:rPr>
          <w:rStyle w:val="VerbatimChar"/>
        </w:rPr>
        <w:t xml:space="preserve">/exhibition-space/browse</w:t>
      </w:r>
      <w:r>
        <w:t xml:space="preserve">) shows every space with: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Current utilisation</w:t>
      </w:r>
      <w:r>
        <w:t xml:space="preserve"> </w:t>
      </w:r>
      <w:r>
        <w:t xml:space="preserve">— a progress bar showing what fraction of capacity is in use</w:t>
      </w:r>
      <w:r>
        <w:t xml:space="preserve"> </w:t>
      </w:r>
      <w:r>
        <w:rPr>
          <w:bCs/>
          <w:b/>
        </w:rPr>
        <w:t xml:space="preserve">today</w:t>
      </w:r>
      <w:r>
        <w:t xml:space="preserve"> </w:t>
      </w:r>
      <w:r>
        <w:t xml:space="preserve">(not for any other date — for that, open the specific space)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Current placements</w:t>
      </w:r>
      <w:r>
        <w:t xml:space="preserve"> </w:t>
      </w:r>
      <w:r>
        <w:t xml:space="preserve">— how many information objects are currently on display in this space</w:t>
      </w:r>
    </w:p>
    <w:p>
      <w:pPr>
        <w:pStyle w:val="FirstParagraph"/>
      </w:pPr>
      <w:r>
        <w:t xml:space="preserve">The progress bar turns amber at 70% and red at 90% of capacity, so you can spot pressure at a glance.</w:t>
      </w:r>
    </w:p>
    <w:bookmarkEnd w:id="25"/>
    <w:bookmarkStart w:id="26" w:name="deleting-an-exhibition-space"/>
    <w:p>
      <w:pPr>
        <w:pStyle w:val="Heading2"/>
      </w:pPr>
      <w:r>
        <w:t xml:space="preserve">Deleting an exhibition space</w:t>
      </w:r>
    </w:p>
    <w:p>
      <w:pPr>
        <w:pStyle w:val="FirstParagraph"/>
      </w:pPr>
      <w:r>
        <w:t xml:space="preserve">You can delete an empty space (no placements). A space with placements is blocked — remove the placements first. This is a safety check, not a deletion of placement history per se; you can always delete the placements then the space.</w:t>
      </w:r>
    </w:p>
    <w:bookmarkEnd w:id="26"/>
    <w:bookmarkStart w:id="27" w:name="what-this-doesnt-yet-do"/>
    <w:p>
      <w:pPr>
        <w:pStyle w:val="Heading2"/>
      </w:pPr>
      <w:r>
        <w:t xml:space="preserve">What this doesn’t (yet) do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No floor-plan map</w:t>
      </w:r>
      <w:r>
        <w:t xml:space="preserve"> </w:t>
      </w:r>
      <w:r>
        <w:t xml:space="preserve">— placements are listed in a table, not pinned to a visual floor plan. (That’s a future enhancement.)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No best-fit allocator</w:t>
      </w:r>
      <w:r>
        <w:t xml:space="preserve"> </w:t>
      </w:r>
      <w:r>
        <w:t xml:space="preserve">— the system tells you when a placement won’t fit, but doesn’t suggest alternatives.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No lighting/temp/humidity monitoring</w:t>
      </w:r>
      <w:r>
        <w:t xml:space="preserve"> </w:t>
      </w:r>
      <w:r>
        <w:t xml:space="preserve">— the</w:t>
      </w:r>
      <w:r>
        <w:t xml:space="preserve"> </w:t>
      </w:r>
      <w:r>
        <w:rPr>
          <w:rStyle w:val="VerbatimChar"/>
        </w:rPr>
        <w:t xml:space="preserve">lighting_lux_target</w:t>
      </w:r>
      <w:r>
        <w:t xml:space="preserve"> </w:t>
      </w:r>
      <w:r>
        <w:t xml:space="preserve">field is captured but not actively monitored. Pair with your environmental monitoring system out-of-band.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No automatic placement from an exhibition</w:t>
      </w:r>
      <w:r>
        <w:t xml:space="preserve"> </w:t>
      </w:r>
      <w:r>
        <w:t xml:space="preserve">— if you have a curated exhibition with an object list, the placements still need to be entered here individually. Future work.</w:t>
      </w:r>
    </w:p>
    <w:bookmarkEnd w:id="27"/>
    <w:bookmarkStart w:id="28" w:name="quick-links"/>
    <w:p>
      <w:pPr>
        <w:pStyle w:val="Heading2"/>
      </w:pPr>
      <w:r>
        <w:t xml:space="preserve">Quick links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Browse all spaces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/exhibition-space/browse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Add a space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/exhibition-space/add</w:t>
      </w:r>
      <w:r>
        <w:t xml:space="preserve"> </w:t>
      </w:r>
      <w:r>
        <w:t xml:space="preserve">(requires login)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Strongrooms</w:t>
      </w:r>
      <w:r>
        <w:t xml:space="preserve"> </w:t>
      </w:r>
      <w:r>
        <w:t xml:space="preserve">(sibling module for back-of-house storage) —</w:t>
      </w:r>
      <w:r>
        <w:t xml:space="preserve"> </w:t>
      </w:r>
      <w:r>
        <w:rPr>
          <w:rStyle w:val="VerbatimChar"/>
        </w:rPr>
        <w:t xml:space="preserve">/strongroom/browse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Exhibition spaces — front-of-house space allocation</dc:title>
  <dc:creator>The Archive and Heritage Group (Pty) Ltd</dc:creator>
  <cp:category>User Guide</cp:category>
  <cp:keywords/>
  <dcterms:created xsi:type="dcterms:W3CDTF">2026-06-03T17:40:04Z</dcterms:created>
  <dcterms:modified xsi:type="dcterms:W3CDTF">2026-06-03T17:40:04Z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