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GLAM Metadata Export</w:t>
      </w:r>
    </w:p>
    <w:p>
      <w:pPr>
        <w:pStyle w:val="Author"/>
      </w:pPr>
      <w:r>
        <w:t xml:space="preserve">The Archive and Heritage Group (Pty) Ltd</w:t>
      </w:r>
    </w:p>
    <w:bookmarkStart w:id="66" w:name="glam-metadata-export"/>
    <w:p>
      <w:pPr>
        <w:pStyle w:val="Heading1"/>
      </w:pPr>
      <w:r>
        <w:t xml:space="preserve">GLAM Metadata Export</w:t>
      </w:r>
    </w:p>
    <w:bookmarkStart w:id="20" w:name="Xef2382434f01a86e8722f76e6c841c9b2667cc2"/>
    <w:p>
      <w:pPr>
        <w:pStyle w:val="Heading2"/>
      </w:pPr>
      <w:r>
        <w:t xml:space="preserve">A Guide for Archivists, Librarians, and Collection Managers</w:t>
      </w:r>
    </w:p>
    <w:p>
      <w:r>
        <w:pict>
          <v:rect style="width:0;height:1.5pt" o:hralign="center" o:hrstd="t" o:hr="t"/>
        </w:pict>
      </w:r>
    </w:p>
    <w:bookmarkEnd w:id="20"/>
    <w:bookmarkStart w:id="21" w:name="what-is-glam-metadata-export"/>
    <w:p>
      <w:pPr>
        <w:pStyle w:val="Heading2"/>
      </w:pPr>
      <w:r>
        <w:t xml:space="preserve">What is GLAM Metadata Export?</w:t>
      </w:r>
    </w:p>
    <w:p>
      <w:pPr>
        <w:pStyle w:val="FirstParagraph"/>
      </w:pPr>
      <w:r>
        <w:t xml:space="preserve">The GLAM Metadata Export plugin allows you to export your archival descriptions to international metadata standards used by: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Archives</w:t>
      </w:r>
      <w:r>
        <w:t xml:space="preserve"> </w:t>
      </w:r>
      <w:r>
        <w:t xml:space="preserve">- EAD3, RIC-O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Libraries</w:t>
      </w:r>
      <w:r>
        <w:t xml:space="preserve"> </w:t>
      </w:r>
      <w:r>
        <w:t xml:space="preserve">- MARC21, BIBFRAME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Museums</w:t>
      </w:r>
      <w:r>
        <w:t xml:space="preserve"> </w:t>
      </w:r>
      <w:r>
        <w:t xml:space="preserve">- LIDO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Visual Resources</w:t>
      </w:r>
      <w:r>
        <w:t xml:space="preserve"> </w:t>
      </w:r>
      <w:r>
        <w:t xml:space="preserve">- VRA Core 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Media Collections</w:t>
      </w:r>
      <w:r>
        <w:t xml:space="preserve"> </w:t>
      </w:r>
      <w:r>
        <w:t xml:space="preserve">- PBCore, EBUCore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Digital Preservation</w:t>
      </w:r>
      <w:r>
        <w:t xml:space="preserve"> </w:t>
      </w:r>
      <w:r>
        <w:t xml:space="preserve">- PREMIS</w:t>
      </w:r>
    </w:p>
    <w:p>
      <w:r>
        <w:pict>
          <v:rect style="width:0;height:1.5pt" o:hralign="center" o:hrstd="t" o:hr="t"/>
        </w:pict>
      </w:r>
    </w:p>
    <w:bookmarkEnd w:id="21"/>
    <w:bookmarkStart w:id="22" w:name="export-formats-at-a-glance"/>
    <w:p>
      <w:pPr>
        <w:pStyle w:val="Heading2"/>
      </w:pPr>
      <w:r>
        <w:t xml:space="preserve">Export Formats at a Glance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aids, ArchivesSpace, ArchivesHub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RIC-O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data, semantic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Europeana, museum aggregators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MARC21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catalogs (Koha, Alma)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BIBFRAME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JSON-LD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of Congress linked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VRA Core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Art/photography 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broadcasting, video 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EBUCore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broadcasters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preservation systems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using-the-web-interface"/>
    <w:p>
      <w:pPr>
        <w:pStyle w:val="Heading2"/>
      </w:pPr>
      <w:r>
        <w:t xml:space="preserve">Using the Web Interface</w:t>
      </w:r>
    </w:p>
    <w:bookmarkStart w:id="23" w:name="single-record-export"/>
    <w:p>
      <w:pPr>
        <w:pStyle w:val="Heading3"/>
      </w:pPr>
      <w:r>
        <w:t xml:space="preserve">Single Record Export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View any record         │</w:t>
      </w:r>
      <w:r>
        <w:br/>
      </w:r>
      <w:r>
        <w:rPr>
          <w:rStyle w:val="VerbatimChar"/>
        </w:rPr>
        <w:t xml:space="preserve">└───────────┬──────────────┘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Click "Export" button   │</w:t>
      </w:r>
      <w:r>
        <w:br/>
      </w:r>
      <w:r>
        <w:rPr>
          <w:rStyle w:val="VerbatimChar"/>
        </w:rPr>
        <w:t xml:space="preserve">│  (top right area)        │</w:t>
      </w:r>
      <w:r>
        <w:br/>
      </w:r>
      <w:r>
        <w:rPr>
          <w:rStyle w:val="VerbatimChar"/>
        </w:rPr>
        <w:t xml:space="preserve">└───────────┬──────────────┘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Select format:          │</w:t>
      </w:r>
      <w:r>
        <w:br/>
      </w:r>
      <w:r>
        <w:rPr>
          <w:rStyle w:val="VerbatimChar"/>
        </w:rPr>
        <w:t xml:space="preserve">│  • EAD3                  │</w:t>
      </w:r>
      <w:r>
        <w:br/>
      </w:r>
      <w:r>
        <w:rPr>
          <w:rStyle w:val="VerbatimChar"/>
        </w:rPr>
        <w:t xml:space="preserve">│  • RIC-O (JSON-LD)       │</w:t>
      </w:r>
      <w:r>
        <w:br/>
      </w:r>
      <w:r>
        <w:rPr>
          <w:rStyle w:val="VerbatimChar"/>
        </w:rPr>
        <w:t xml:space="preserve">│  • LIDO                  │</w:t>
      </w:r>
      <w:r>
        <w:br/>
      </w:r>
      <w:r>
        <w:rPr>
          <w:rStyle w:val="VerbatimChar"/>
        </w:rPr>
        <w:t xml:space="preserve">│  • MARC21                │</w:t>
      </w:r>
      <w:r>
        <w:br/>
      </w:r>
      <w:r>
        <w:rPr>
          <w:rStyle w:val="VerbatimChar"/>
        </w:rPr>
        <w:t xml:space="preserve">│  • PREMIS                │</w:t>
      </w:r>
      <w:r>
        <w:br/>
      </w:r>
      <w:r>
        <w:rPr>
          <w:rStyle w:val="VerbatimChar"/>
        </w:rPr>
        <w:t xml:space="preserve">│  • (more...)             │</w:t>
      </w:r>
      <w:r>
        <w:br/>
      </w:r>
      <w:r>
        <w:rPr>
          <w:rStyle w:val="VerbatimChar"/>
        </w:rPr>
        <w:t xml:space="preserve">└───────────┬──────────────┘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Configure options:      │</w:t>
      </w:r>
      <w:r>
        <w:br/>
      </w:r>
      <w:r>
        <w:rPr>
          <w:rStyle w:val="VerbatimChar"/>
        </w:rPr>
        <w:t xml:space="preserve">│  ☑ Include children      │</w:t>
      </w:r>
      <w:r>
        <w:br/>
      </w:r>
      <w:r>
        <w:rPr>
          <w:rStyle w:val="VerbatimChar"/>
        </w:rPr>
        <w:t xml:space="preserve">│  ☑ Include digital obj   │</w:t>
      </w:r>
      <w:r>
        <w:br/>
      </w:r>
      <w:r>
        <w:rPr>
          <w:rStyle w:val="VerbatimChar"/>
        </w:rPr>
        <w:t xml:space="preserve">│  ☐ Include drafts        │</w:t>
      </w:r>
      <w:r>
        <w:br/>
      </w:r>
      <w:r>
        <w:rPr>
          <w:rStyle w:val="VerbatimChar"/>
        </w:rPr>
        <w:t xml:space="preserve">└───────────┬──────────────┘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Download file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bookmarkEnd w:id="23"/>
    <w:bookmarkStart w:id="24" w:name="steps"/>
    <w:p>
      <w:pPr>
        <w:pStyle w:val="Heading3"/>
      </w:pPr>
      <w:r>
        <w:t xml:space="preserve">Steps</w:t>
      </w:r>
    </w:p>
    <w:p>
      <w:pPr>
        <w:numPr>
          <w:ilvl w:val="0"/>
          <w:numId w:val="1002"/>
        </w:numPr>
        <w:pStyle w:val="Compact"/>
      </w:pPr>
      <w:r>
        <w:t xml:space="preserve">Navigate to any archival description</w:t>
      </w:r>
    </w:p>
    <w:p>
      <w:pPr>
        <w:numPr>
          <w:ilvl w:val="0"/>
          <w:numId w:val="1002"/>
        </w:numPr>
        <w:pStyle w:val="Compact"/>
      </w:pPr>
      <w:r>
        <w:t xml:space="preserve">Look for the</w:t>
      </w:r>
      <w:r>
        <w:t xml:space="preserve"> </w:t>
      </w:r>
      <w:r>
        <w:rPr>
          <w:bCs/>
          <w:b/>
        </w:rPr>
        <w:t xml:space="preserve">Export</w:t>
      </w:r>
      <w:r>
        <w:t xml:space="preserve"> </w:t>
      </w:r>
      <w:r>
        <w:t xml:space="preserve">dropdown or button</w:t>
      </w:r>
    </w:p>
    <w:p>
      <w:pPr>
        <w:numPr>
          <w:ilvl w:val="0"/>
          <w:numId w:val="1002"/>
        </w:numPr>
        <w:pStyle w:val="Compact"/>
      </w:pPr>
      <w:r>
        <w:t xml:space="preserve">Select your desired format</w:t>
      </w:r>
    </w:p>
    <w:p>
      <w:pPr>
        <w:numPr>
          <w:ilvl w:val="0"/>
          <w:numId w:val="1002"/>
        </w:numPr>
        <w:pStyle w:val="Compact"/>
      </w:pPr>
      <w:r>
        <w:t xml:space="preserve">Configure export options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Export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Download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using-the-command-line"/>
    <w:p>
      <w:pPr>
        <w:pStyle w:val="Heading2"/>
      </w:pPr>
      <w:r>
        <w:t xml:space="preserve">Using the Command Line</w:t>
      </w:r>
    </w:p>
    <w:p>
      <w:pPr>
        <w:pStyle w:val="FirstParagraph"/>
      </w:pPr>
      <w:r>
        <w:t xml:space="preserve">The CLI is ideal for bulk exports and automation.</w:t>
      </w:r>
    </w:p>
    <w:bookmarkStart w:id="26" w:name="basic-commands"/>
    <w:p>
      <w:pPr>
        <w:pStyle w:val="Heading3"/>
      </w:pPr>
      <w:r>
        <w:t xml:space="preserve">Basic Commands</w:t>
      </w:r>
    </w:p>
    <w:p>
      <w:pPr>
        <w:pStyle w:val="SourceCode"/>
      </w:pPr>
      <w:r>
        <w:rPr>
          <w:rStyle w:val="CommentTok"/>
        </w:rPr>
        <w:t xml:space="preserve"># List all available formats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AttributeTok"/>
        </w:rPr>
        <w:t xml:space="preserve">--list</w:t>
      </w:r>
      <w:r>
        <w:br/>
      </w:r>
      <w:r>
        <w:br/>
      </w:r>
      <w:r>
        <w:rPr>
          <w:rStyle w:val="CommentTok"/>
        </w:rPr>
        <w:t xml:space="preserve"># Export single record to EAD3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ead3 </w:t>
      </w:r>
      <w:r>
        <w:rPr>
          <w:rStyle w:val="AttributeTok"/>
        </w:rPr>
        <w:t xml:space="preserve">--slug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my-fonds</w:t>
      </w:r>
      <w:r>
        <w:br/>
      </w:r>
      <w:r>
        <w:br/>
      </w:r>
      <w:r>
        <w:rPr>
          <w:rStyle w:val="CommentTok"/>
        </w:rPr>
        <w:t xml:space="preserve"># Export to all formats at once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</w:t>
      </w:r>
      <w:r>
        <w:rPr>
          <w:rStyle w:val="AttributeTok"/>
        </w:rPr>
        <w:t xml:space="preserve">--slug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my-fonds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/exports/</w:t>
      </w:r>
    </w:p>
    <w:bookmarkEnd w:id="26"/>
    <w:bookmarkStart w:id="27" w:name="export-options"/>
    <w:p>
      <w:pPr>
        <w:pStyle w:val="Heading3"/>
      </w:pPr>
      <w:r>
        <w:t xml:space="preserve">Export Options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--format=FORMAT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format (ead3, rico, lido, marc21,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--slug=SLUG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slug to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--repository=ID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all records from a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--output=PATH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directory (default: /tmp)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--include-children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child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--include-digital-objects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digital object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--include-drafts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unpublished records</w:t>
            </w:r>
          </w:p>
        </w:tc>
      </w:tr>
    </w:tbl>
    <w:bookmarkEnd w:id="27"/>
    <w:bookmarkStart w:id="28" w:name="examples"/>
    <w:p>
      <w:pPr>
        <w:pStyle w:val="Heading3"/>
      </w:pPr>
      <w:r>
        <w:t xml:space="preserve">Examples</w:t>
      </w:r>
    </w:p>
    <w:p>
      <w:pPr>
        <w:pStyle w:val="FirstParagraph"/>
      </w:pPr>
      <w:r>
        <w:rPr>
          <w:bCs/>
          <w:b/>
        </w:rPr>
        <w:t xml:space="preserve">Export a finding aid to EAD3: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ead3 </w:t>
      </w:r>
      <w:r>
        <w:rPr>
          <w:rStyle w:val="AttributeTok"/>
        </w:rPr>
        <w:t xml:space="preserve">--slug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smith-family-papers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/exports/</w:t>
      </w:r>
    </w:p>
    <w:p>
      <w:pPr>
        <w:pStyle w:val="FirstParagraph"/>
      </w:pPr>
      <w:r>
        <w:rPr>
          <w:bCs/>
          <w:b/>
        </w:rPr>
        <w:t xml:space="preserve">Export entire repository to RIC-O linked data: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rico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--include-children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/exports/rico/</w:t>
      </w:r>
    </w:p>
    <w:p>
      <w:pPr>
        <w:pStyle w:val="FirstParagraph"/>
      </w:pPr>
      <w:r>
        <w:rPr>
          <w:bCs/>
          <w:b/>
        </w:rPr>
        <w:t xml:space="preserve">Export museum objects to LIDO: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lido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AttributeTok"/>
        </w:rPr>
        <w:t xml:space="preserve">--include-digital-objects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/exports/lido/</w:t>
      </w:r>
    </w:p>
    <w:p>
      <w:pPr>
        <w:pStyle w:val="FirstParagraph"/>
      </w:pPr>
      <w:r>
        <w:rPr>
          <w:bCs/>
          <w:b/>
        </w:rPr>
        <w:t xml:space="preserve">Export all formats for a record: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</w:t>
      </w:r>
      <w:r>
        <w:rPr>
          <w:rStyle w:val="AttributeTok"/>
        </w:rPr>
        <w:t xml:space="preserve">--slug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my-record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/exports/multi-format/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5" w:name="understanding-the-formats"/>
    <w:p>
      <w:pPr>
        <w:pStyle w:val="Heading2"/>
      </w:pPr>
      <w:r>
        <w:t xml:space="preserve">Understanding the Formats</w:t>
      </w:r>
    </w:p>
    <w:bookmarkStart w:id="32" w:name="for-archives"/>
    <w:p>
      <w:pPr>
        <w:pStyle w:val="Heading3"/>
      </w:pPr>
      <w:r>
        <w:t xml:space="preserve">For Archives</w:t>
      </w:r>
    </w:p>
    <w:bookmarkStart w:id="30" w:name="ead3-encoded-archival-description-3"/>
    <w:p>
      <w:pPr>
        <w:pStyle w:val="Heading4"/>
      </w:pPr>
      <w:r>
        <w:t xml:space="preserve">EAD3 (Encoded Archival Description 3)</w:t>
      </w:r>
    </w:p>
    <w:p>
      <w:pPr>
        <w:pStyle w:val="FirstParagraph"/>
      </w:pPr>
      <w:r>
        <w:t xml:space="preserve">The latest version of the standard finding aid format.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ead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"http://ead3.archivists.org/schema/"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control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recordid</w:t>
      </w:r>
      <w:r>
        <w:rPr>
          <w:rStyle w:val="NormalTok"/>
        </w:rPr>
        <w:t xml:space="preserve">&gt;F001&lt;/</w:t>
      </w:r>
      <w:r>
        <w:rPr>
          <w:rStyle w:val="KeywordTok"/>
        </w:rPr>
        <w:t xml:space="preserve">recordid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control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archdesc</w:t>
      </w:r>
      <w:r>
        <w:rPr>
          <w:rStyle w:val="OtherTok"/>
        </w:rPr>
        <w:t xml:space="preserve"> level=</w:t>
      </w:r>
      <w:r>
        <w:rPr>
          <w:rStyle w:val="StringTok"/>
        </w:rPr>
        <w:t xml:space="preserve">"fonds"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unittitle</w:t>
      </w:r>
      <w:r>
        <w:rPr>
          <w:rStyle w:val="NormalTok"/>
        </w:rPr>
        <w:t xml:space="preserve">&gt;Smith Papers&lt;/</w:t>
      </w:r>
      <w:r>
        <w:rPr>
          <w:rStyle w:val="KeywordTok"/>
        </w:rPr>
        <w:t xml:space="preserve">unittitle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unitdate</w:t>
      </w:r>
      <w:r>
        <w:rPr>
          <w:rStyle w:val="NormalTok"/>
        </w:rPr>
        <w:t xml:space="preserve">&gt;1920-1950&lt;/</w:t>
      </w:r>
      <w:r>
        <w:rPr>
          <w:rStyle w:val="KeywordTok"/>
        </w:rPr>
        <w:t xml:space="preserve">unitdate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scopecontent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&gt;Personal papers of John Smith...&lt;/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scopecontent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archdesc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ead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Use for:</w:t>
      </w:r>
      <w:r>
        <w:t xml:space="preserve"> </w:t>
      </w:r>
      <w:r>
        <w:t xml:space="preserve">ArchivesSpace, ArchivesHub, Library of Congress</w:t>
      </w:r>
    </w:p>
    <w:bookmarkEnd w:id="30"/>
    <w:bookmarkStart w:id="31" w:name="ric-o-records-in-contexts---ontology"/>
    <w:p>
      <w:pPr>
        <w:pStyle w:val="Heading4"/>
      </w:pPr>
      <w:r>
        <w:t xml:space="preserve">RIC-O (Records in Contexts - Ontology)</w:t>
      </w:r>
    </w:p>
    <w:p>
      <w:pPr>
        <w:pStyle w:val="FirstParagraph"/>
      </w:pPr>
      <w:r>
        <w:t xml:space="preserve">Linked data format from the International Council on Archives.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"https://www.ica.org/standards/RiC/ontology#"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"rico:RecordSet"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"rico:identifier"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"rico:title"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 Papers"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"rico:hasOrHadCreator"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"rico:Person"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"rico:name"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Smith"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Use for:</w:t>
      </w:r>
      <w:r>
        <w:t xml:space="preserve"> </w:t>
      </w:r>
      <w:r>
        <w:t xml:space="preserve">Semantic web, linked data publishing, knowledge graphs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for-libraries"/>
    <w:p>
      <w:pPr>
        <w:pStyle w:val="Heading3"/>
      </w:pPr>
      <w:r>
        <w:t xml:space="preserve">For Libraries</w:t>
      </w:r>
    </w:p>
    <w:bookmarkStart w:id="33" w:name="marc21"/>
    <w:p>
      <w:pPr>
        <w:pStyle w:val="Heading4"/>
      </w:pPr>
      <w:r>
        <w:t xml:space="preserve">MARC21</w:t>
      </w:r>
    </w:p>
    <w:p>
      <w:pPr>
        <w:pStyle w:val="FirstParagraph"/>
      </w:pPr>
      <w:r>
        <w:t xml:space="preserve">Standard library catalog format.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leader</w:t>
      </w:r>
      <w:r>
        <w:rPr>
          <w:rStyle w:val="NormalTok"/>
        </w:rPr>
        <w:t xml:space="preserve">&gt;00000npc a2200000 u 4500&lt;/</w:t>
      </w:r>
      <w:r>
        <w:rPr>
          <w:rStyle w:val="KeywordTok"/>
        </w:rPr>
        <w:t xml:space="preserve">leader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controlfield</w:t>
      </w:r>
      <w:r>
        <w:rPr>
          <w:rStyle w:val="OtherTok"/>
        </w:rPr>
        <w:t xml:space="preserve"> tag=</w:t>
      </w:r>
      <w:r>
        <w:rPr>
          <w:rStyle w:val="StringTok"/>
        </w:rPr>
        <w:t xml:space="preserve">"001"</w:t>
      </w:r>
      <w:r>
        <w:rPr>
          <w:rStyle w:val="NormalTok"/>
        </w:rPr>
        <w:t xml:space="preserve">&gt;F001&lt;/</w:t>
      </w:r>
      <w:r>
        <w:rPr>
          <w:rStyle w:val="KeywordTok"/>
        </w:rPr>
        <w:t xml:space="preserve">controlfield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datafield</w:t>
      </w:r>
      <w:r>
        <w:rPr>
          <w:rStyle w:val="OtherTok"/>
        </w:rPr>
        <w:t xml:space="preserve"> tag=</w:t>
      </w:r>
      <w:r>
        <w:rPr>
          <w:rStyle w:val="StringTok"/>
        </w:rPr>
        <w:t xml:space="preserve">"245"</w:t>
      </w:r>
      <w:r>
        <w:rPr>
          <w:rStyle w:val="OtherTok"/>
        </w:rPr>
        <w:t xml:space="preserve"> ind1=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ind2=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subfield</w:t>
      </w:r>
      <w:r>
        <w:rPr>
          <w:rStyle w:val="OtherTok"/>
        </w:rPr>
        <w:t xml:space="preserve"> code=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&gt;Smith Papers&lt;/</w:t>
      </w:r>
      <w:r>
        <w:rPr>
          <w:rStyle w:val="KeywordTok"/>
        </w:rPr>
        <w:t xml:space="preserve">subfield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datafield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datafield</w:t>
      </w:r>
      <w:r>
        <w:rPr>
          <w:rStyle w:val="OtherTok"/>
        </w:rPr>
        <w:t xml:space="preserve"> tag=</w:t>
      </w:r>
      <w:r>
        <w:rPr>
          <w:rStyle w:val="StringTok"/>
        </w:rPr>
        <w:t xml:space="preserve">"520"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subfield</w:t>
      </w:r>
      <w:r>
        <w:rPr>
          <w:rStyle w:val="OtherTok"/>
        </w:rPr>
        <w:t xml:space="preserve"> code=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&gt;Personal papers of John Smith...&lt;/</w:t>
      </w:r>
      <w:r>
        <w:rPr>
          <w:rStyle w:val="KeywordTok"/>
        </w:rPr>
        <w:t xml:space="preserve">subfield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datafield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Use for:</w:t>
      </w:r>
      <w:r>
        <w:t xml:space="preserve"> </w:t>
      </w:r>
      <w:r>
        <w:t xml:space="preserve">Koha, Evergreen, Alma, WorldCat</w:t>
      </w:r>
    </w:p>
    <w:bookmarkEnd w:id="33"/>
    <w:bookmarkStart w:id="34" w:name="bibframe"/>
    <w:p>
      <w:pPr>
        <w:pStyle w:val="Heading4"/>
      </w:pPr>
      <w:r>
        <w:t xml:space="preserve">BIBFRAME</w:t>
      </w:r>
    </w:p>
    <w:p>
      <w:pPr>
        <w:pStyle w:val="FirstParagraph"/>
      </w:pPr>
      <w:r>
        <w:t xml:space="preserve">Library of Congress linked data format.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"http://id.loc.gov/ontologies/bibframe/"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"bf:Work"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"bf:title"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"bf:Title"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"bf:mainTitle"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 Papers"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Use for:</w:t>
      </w:r>
      <w:r>
        <w:t xml:space="preserve"> </w:t>
      </w:r>
      <w:r>
        <w:t xml:space="preserve">Library linked data, id.loc.gov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for-museums"/>
    <w:p>
      <w:pPr>
        <w:pStyle w:val="Heading3"/>
      </w:pPr>
      <w:r>
        <w:t xml:space="preserve">For Museums</w:t>
      </w:r>
    </w:p>
    <w:bookmarkStart w:id="36" w:name="Xec48e89523d1f64e31eb16f7f91ccb90fc6e64b"/>
    <w:p>
      <w:pPr>
        <w:pStyle w:val="Heading4"/>
      </w:pPr>
      <w:r>
        <w:t xml:space="preserve">LIDO (Lightweight Information Describing Objects)</w:t>
      </w:r>
    </w:p>
    <w:p>
      <w:pPr>
        <w:pStyle w:val="FirstParagraph"/>
      </w:pPr>
      <w:r>
        <w:t xml:space="preserve">Standard for museum object metadata.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lido:lido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lido:lidoRecID</w:t>
      </w:r>
      <w:r>
        <w:rPr>
          <w:rStyle w:val="NormalTok"/>
        </w:rPr>
        <w:t xml:space="preserve">&gt;OBJ-001&lt;/</w:t>
      </w:r>
      <w:r>
        <w:rPr>
          <w:rStyle w:val="KeywordTok"/>
        </w:rPr>
        <w:t xml:space="preserve">lido:lidoRecID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lido:descriptiveMetadata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lido:objectIdentificationWrap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lido:titleWrap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lido:titleSet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&lt;</w:t>
      </w:r>
      <w:r>
        <w:rPr>
          <w:rStyle w:val="KeywordTok"/>
        </w:rPr>
        <w:t xml:space="preserve">lido:appellationValue</w:t>
      </w:r>
      <w:r>
        <w:rPr>
          <w:rStyle w:val="NormalTok"/>
        </w:rPr>
        <w:t xml:space="preserve">&gt;Portrait of a Lady&lt;/</w:t>
      </w:r>
      <w:r>
        <w:rPr>
          <w:rStyle w:val="KeywordTok"/>
        </w:rPr>
        <w:t xml:space="preserve">lido:appellationValue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lido:titleSet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lido:titleWrap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lido:objectIdentificationWrap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lido:descriptiveMetadata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lido:lido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Use for:</w:t>
      </w:r>
      <w:r>
        <w:t xml:space="preserve"> </w:t>
      </w:r>
      <w:r>
        <w:t xml:space="preserve">Europeana, museum aggregators, CollectiveAccess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for-visual-resources"/>
    <w:p>
      <w:pPr>
        <w:pStyle w:val="Heading3"/>
      </w:pPr>
      <w:r>
        <w:t xml:space="preserve">For Visual Resources</w:t>
      </w:r>
    </w:p>
    <w:bookmarkStart w:id="38" w:name="vra-core-4"/>
    <w:p>
      <w:pPr>
        <w:pStyle w:val="Heading4"/>
      </w:pPr>
      <w:r>
        <w:t xml:space="preserve">VRA Core 4</w:t>
      </w:r>
    </w:p>
    <w:p>
      <w:pPr>
        <w:pStyle w:val="FirstParagraph"/>
      </w:pPr>
      <w:r>
        <w:t xml:space="preserve">Visual Resources Association standard.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vra:vra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vra:work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vra:titleSet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vra:title</w:t>
      </w:r>
      <w:r>
        <w:rPr>
          <w:rStyle w:val="NormalTok"/>
        </w:rPr>
        <w:t xml:space="preserve">&gt;Photograph of Main Street&lt;/</w:t>
      </w:r>
      <w:r>
        <w:rPr>
          <w:rStyle w:val="KeywordTok"/>
        </w:rPr>
        <w:t xml:space="preserve">vra:title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vra:titleSet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vra:dateSet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vra:date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"creation"</w:t>
      </w:r>
      <w:r>
        <w:rPr>
          <w:rStyle w:val="NormalTok"/>
        </w:rPr>
        <w:t xml:space="preserve">&gt;1945&lt;/</w:t>
      </w:r>
      <w:r>
        <w:rPr>
          <w:rStyle w:val="KeywordTok"/>
        </w:rPr>
        <w:t xml:space="preserve">vra:date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vra:dateSet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vra:work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vra:image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vra:measurementsSet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vra:measurements</w:t>
      </w:r>
      <w:r>
        <w:rPr>
          <w:rStyle w:val="NormalTok"/>
        </w:rPr>
        <w:t xml:space="preserve">&gt;1024x768 pixels&lt;/</w:t>
      </w:r>
      <w:r>
        <w:rPr>
          <w:rStyle w:val="KeywordTok"/>
        </w:rPr>
        <w:t xml:space="preserve">vra:measurements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vra:measurementsSet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vra:image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vra:vra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Use for:</w:t>
      </w:r>
      <w:r>
        <w:t xml:space="preserve"> </w:t>
      </w:r>
      <w:r>
        <w:t xml:space="preserve">Art libraries, image repositories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for-media-collections"/>
    <w:p>
      <w:pPr>
        <w:pStyle w:val="Heading3"/>
      </w:pPr>
      <w:r>
        <w:t xml:space="preserve">For Media Collections</w:t>
      </w:r>
    </w:p>
    <w:bookmarkStart w:id="40" w:name="pbcore-public-broadcasting-core"/>
    <w:p>
      <w:pPr>
        <w:pStyle w:val="Heading4"/>
      </w:pPr>
      <w:r>
        <w:t xml:space="preserve">PBCore (Public Broadcasting Core)</w:t>
      </w:r>
    </w:p>
    <w:p>
      <w:pPr>
        <w:pStyle w:val="FirstParagraph"/>
      </w:pPr>
      <w:r>
        <w:t xml:space="preserve">Metadata for audiovisual content.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pbcoreDescriptionDocument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pbcoreIdentifier</w:t>
      </w:r>
      <w:r>
        <w:rPr>
          <w:rStyle w:val="NormalTok"/>
        </w:rPr>
        <w:t xml:space="preserve">&gt;VID-001&lt;/</w:t>
      </w:r>
      <w:r>
        <w:rPr>
          <w:rStyle w:val="KeywordTok"/>
        </w:rPr>
        <w:t xml:space="preserve">pbcoreIdentifier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pbcoreTitle</w:t>
      </w:r>
      <w:r>
        <w:rPr>
          <w:rStyle w:val="NormalTok"/>
        </w:rPr>
        <w:t xml:space="preserve">&gt;Interview with John Smith&lt;/</w:t>
      </w:r>
      <w:r>
        <w:rPr>
          <w:rStyle w:val="KeywordTok"/>
        </w:rPr>
        <w:t xml:space="preserve">pbcoreTitle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pbcoreDescription</w:t>
      </w:r>
      <w:r>
        <w:rPr>
          <w:rStyle w:val="NormalTok"/>
        </w:rPr>
        <w:t xml:space="preserve">&gt;Oral history interview...&lt;/</w:t>
      </w:r>
      <w:r>
        <w:rPr>
          <w:rStyle w:val="KeywordTok"/>
        </w:rPr>
        <w:t xml:space="preserve">pbcoreDescription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pbcoreDescriptionDocument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Use for:</w:t>
      </w:r>
      <w:r>
        <w:t xml:space="preserve"> </w:t>
      </w:r>
      <w:r>
        <w:t xml:space="preserve">PBS, public broadcasters, video archives</w:t>
      </w:r>
    </w:p>
    <w:bookmarkEnd w:id="40"/>
    <w:bookmarkStart w:id="41" w:name="ebucore"/>
    <w:p>
      <w:pPr>
        <w:pStyle w:val="Heading4"/>
      </w:pPr>
      <w:r>
        <w:t xml:space="preserve">EBUCore</w:t>
      </w:r>
    </w:p>
    <w:p>
      <w:pPr>
        <w:pStyle w:val="FirstParagraph"/>
      </w:pPr>
      <w:r>
        <w:t xml:space="preserve">European Broadcasting Union standard.</w:t>
      </w:r>
    </w:p>
    <w:p>
      <w:pPr>
        <w:pStyle w:val="BodyText"/>
      </w:pPr>
      <w:r>
        <w:rPr>
          <w:bCs/>
          <w:b/>
        </w:rPr>
        <w:t xml:space="preserve">Use for:</w:t>
      </w:r>
      <w:r>
        <w:t xml:space="preserve"> </w:t>
      </w:r>
      <w:r>
        <w:t xml:space="preserve">European broadcasters, media archives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for-digital-preservation"/>
    <w:p>
      <w:pPr>
        <w:pStyle w:val="Heading3"/>
      </w:pPr>
      <w:r>
        <w:t xml:space="preserve">For Digital Preservation</w:t>
      </w:r>
    </w:p>
    <w:bookmarkStart w:id="43" w:name="premis"/>
    <w:p>
      <w:pPr>
        <w:pStyle w:val="Heading4"/>
      </w:pPr>
      <w:r>
        <w:t xml:space="preserve">PREMIS</w:t>
      </w:r>
    </w:p>
    <w:p>
      <w:pPr>
        <w:pStyle w:val="FirstParagraph"/>
      </w:pPr>
      <w:r>
        <w:t xml:space="preserve">Preservation Metadata Implementation Strategies.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premis:premis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premis:object</w:t>
      </w:r>
      <w:r>
        <w:rPr>
          <w:rStyle w:val="OtherTok"/>
        </w:rPr>
        <w:t xml:space="preserve"> xsi:type=</w:t>
      </w:r>
      <w:r>
        <w:rPr>
          <w:rStyle w:val="StringTok"/>
        </w:rPr>
        <w:t xml:space="preserve">"premis:file"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premis:objectIdentifier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premis:objectIdentifierType</w:t>
      </w:r>
      <w:r>
        <w:rPr>
          <w:rStyle w:val="NormalTok"/>
        </w:rPr>
        <w:t xml:space="preserve">&gt;local&lt;/</w:t>
      </w:r>
      <w:r>
        <w:rPr>
          <w:rStyle w:val="KeywordTok"/>
        </w:rPr>
        <w:t xml:space="preserve">premis:objectIdentifierType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premis:objectIdentifierValue</w:t>
      </w:r>
      <w:r>
        <w:rPr>
          <w:rStyle w:val="NormalTok"/>
        </w:rPr>
        <w:t xml:space="preserve">&gt;DO-001&lt;/</w:t>
      </w:r>
      <w:r>
        <w:rPr>
          <w:rStyle w:val="KeywordTok"/>
        </w:rPr>
        <w:t xml:space="preserve">premis:objectIdentifierValue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premis:objectIdentifier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premis:objectCharacteristics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premis:format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premis:formatDesignation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&lt;</w:t>
      </w:r>
      <w:r>
        <w:rPr>
          <w:rStyle w:val="KeywordTok"/>
        </w:rPr>
        <w:t xml:space="preserve">premis:formatName</w:t>
      </w:r>
      <w:r>
        <w:rPr>
          <w:rStyle w:val="NormalTok"/>
        </w:rPr>
        <w:t xml:space="preserve">&gt;image/tiff&lt;/</w:t>
      </w:r>
      <w:r>
        <w:rPr>
          <w:rStyle w:val="KeywordTok"/>
        </w:rPr>
        <w:t xml:space="preserve">premis:formatName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premis:formatDesignation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&lt;/</w:t>
      </w:r>
      <w:r>
        <w:rPr>
          <w:rStyle w:val="KeywordTok"/>
        </w:rPr>
        <w:t xml:space="preserve">premis:format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premis:objectCharacteristics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premis:object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premis:event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premis:eventType</w:t>
      </w:r>
      <w:r>
        <w:rPr>
          <w:rStyle w:val="NormalTok"/>
        </w:rPr>
        <w:t xml:space="preserve">&gt;ingestion&lt;/</w:t>
      </w:r>
      <w:r>
        <w:rPr>
          <w:rStyle w:val="KeywordTok"/>
        </w:rPr>
        <w:t xml:space="preserve">premis:eventType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premis:event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premis:premis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Use for:</w:t>
      </w:r>
      <w:r>
        <w:t xml:space="preserve"> </w:t>
      </w:r>
      <w:r>
        <w:t xml:space="preserve">Archivematica, Preservica, Rosetta, digital preservation workflows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5" w:name="doi-integration"/>
    <w:p>
      <w:pPr>
        <w:pStyle w:val="Heading2"/>
      </w:pPr>
      <w:r>
        <w:t xml:space="preserve">DOI Integration</w:t>
      </w:r>
    </w:p>
    <w:bookmarkStart w:id="46" w:name="what-is-a-doi"/>
    <w:p>
      <w:pPr>
        <w:pStyle w:val="Heading3"/>
      </w:pPr>
      <w:r>
        <w:t xml:space="preserve">What is a DOI?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Digital Object Identifier (DOI)</w:t>
      </w:r>
      <w:r>
        <w:t xml:space="preserve"> </w:t>
      </w:r>
      <w:r>
        <w:t xml:space="preserve">is a persistent identifier used to uniquely identify digital objects. DOIs are widely used in academic publishing and increasingly in cultural heritage to provide permanent, citable links to archival records.</w:t>
      </w:r>
    </w:p>
    <w:p>
      <w:pPr>
        <w:pStyle w:val="BodyText"/>
      </w:pPr>
      <w:r>
        <w:t xml:space="preserve">Example DOI:</w:t>
      </w:r>
      <w:r>
        <w:t xml:space="preserve"> </w:t>
      </w:r>
      <w:r>
        <w:rPr>
          <w:rStyle w:val="VerbatimChar"/>
        </w:rPr>
        <w:t xml:space="preserve">10.12345/archive.2025.001</w:t>
      </w:r>
      <w:r>
        <w:t xml:space="preserve"> </w:t>
      </w:r>
      <w:r>
        <w:t xml:space="preserve">Resolves to:</w:t>
      </w:r>
      <w:r>
        <w:t xml:space="preserve"> </w:t>
      </w:r>
      <w:r>
        <w:rPr>
          <w:rStyle w:val="VerbatimChar"/>
        </w:rPr>
        <w:t xml:space="preserve">https://doi.org/10.12345/archive.2025.001</w:t>
      </w:r>
    </w:p>
    <w:bookmarkEnd w:id="46"/>
    <w:bookmarkStart w:id="47" w:name="doi-in-exports"/>
    <w:p>
      <w:pPr>
        <w:pStyle w:val="Heading3"/>
      </w:pPr>
      <w:r>
        <w:t xml:space="preserve">DOI in Exports</w:t>
      </w:r>
    </w:p>
    <w:p>
      <w:pPr>
        <w:pStyle w:val="FirstParagraph"/>
      </w:pPr>
      <w:r>
        <w:t xml:space="preserve">When you export records, any existing DOIs are automatically included in the appropriate metadata element for each format: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 Location in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&lt;otherrecordid localtype="doi"&gt;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RIC-O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rico:Identifier</w:t>
            </w:r>
            <w:r>
              <w:t xml:space="preserve"> </w:t>
            </w:r>
            <w:r>
              <w:t xml:space="preserve">with type 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&lt;objectPublishedID lido:type="doi"&gt;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MARC21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  <w:r>
              <w:t xml:space="preserve"> </w:t>
            </w:r>
            <w:r>
              <w:rPr>
                <w:rStyle w:val="VerbatimChar"/>
              </w:rPr>
              <w:t xml:space="preserve">024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$2=doi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BIBFRAME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bf:identifiedBy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bf:Doi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VRA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&lt;refid type="doi"&gt;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PBCore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&lt;pbcoreIdentifier source="DOI"&gt;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EBUCore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&lt;identifier typeLabel="DOI"&gt;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&lt;objectIdentifierType&gt;DOI</w:t>
            </w:r>
          </w:p>
        </w:tc>
      </w:tr>
    </w:tbl>
    <w:bookmarkEnd w:id="47"/>
    <w:bookmarkStart w:id="48" w:name="example-doi-in-ead3"/>
    <w:p>
      <w:pPr>
        <w:pStyle w:val="Heading3"/>
      </w:pPr>
      <w:r>
        <w:t xml:space="preserve">Example: DOI in EAD3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ead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"http://ead3.archivists.org/schema/"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control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recordid</w:t>
      </w:r>
      <w:r>
        <w:rPr>
          <w:rStyle w:val="NormalTok"/>
        </w:rPr>
        <w:t xml:space="preserve">&gt;F001&lt;/</w:t>
      </w:r>
      <w:r>
        <w:rPr>
          <w:rStyle w:val="KeywordTok"/>
        </w:rPr>
        <w:t xml:space="preserve">recordid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otherrecordid</w:t>
      </w:r>
      <w:r>
        <w:rPr>
          <w:rStyle w:val="OtherTok"/>
        </w:rPr>
        <w:t xml:space="preserve"> localtype=</w:t>
      </w:r>
      <w:r>
        <w:rPr>
          <w:rStyle w:val="StringTok"/>
        </w:rPr>
        <w:t xml:space="preserve">"doi"</w:t>
      </w:r>
      <w:r>
        <w:rPr>
          <w:rStyle w:val="NormalTok"/>
        </w:rPr>
        <w:t xml:space="preserve">&gt;10.12345/archive.2025.001&lt;/</w:t>
      </w:r>
      <w:r>
        <w:rPr>
          <w:rStyle w:val="KeywordTok"/>
        </w:rPr>
        <w:t xml:space="preserve">otherrecordid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control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...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ead</w:t>
      </w:r>
      <w:r>
        <w:rPr>
          <w:rStyle w:val="NormalTok"/>
        </w:rPr>
        <w:t xml:space="preserve">&gt;</w:t>
      </w:r>
    </w:p>
    <w:bookmarkEnd w:id="48"/>
    <w:bookmarkStart w:id="49" w:name="example-doi-in-ric-o"/>
    <w:p>
      <w:pPr>
        <w:pStyle w:val="Heading3"/>
      </w:pPr>
      <w:r>
        <w:t xml:space="preserve">Example: DOI in RIC-O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"rico:RecordSet"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"rico:identifier"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"rico:Identifier"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"rico:textualValue"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"rico:Identifier"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"rico:identifierType"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"rico:textualValue"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"10.12345/archive.2025.001"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"owl:sameAs"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"https://doi.org/10.12345/archive.2025.001"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example-doi-in-marc21"/>
    <w:p>
      <w:pPr>
        <w:pStyle w:val="Heading3"/>
      </w:pPr>
      <w:r>
        <w:t xml:space="preserve">Example: DOI in MARC21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datafield</w:t>
      </w:r>
      <w:r>
        <w:rPr>
          <w:rStyle w:val="OtherTok"/>
        </w:rPr>
        <w:t xml:space="preserve"> tag=</w:t>
      </w:r>
      <w:r>
        <w:rPr>
          <w:rStyle w:val="StringTok"/>
        </w:rPr>
        <w:t xml:space="preserve">"024"</w:t>
      </w:r>
      <w:r>
        <w:rPr>
          <w:rStyle w:val="OtherTok"/>
        </w:rPr>
        <w:t xml:space="preserve"> ind1=</w:t>
      </w:r>
      <w:r>
        <w:rPr>
          <w:rStyle w:val="StringTok"/>
        </w:rPr>
        <w:t xml:space="preserve">"7"</w:t>
      </w:r>
      <w:r>
        <w:rPr>
          <w:rStyle w:val="OtherTok"/>
        </w:rPr>
        <w:t xml:space="preserve"> ind2=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subfield</w:t>
      </w:r>
      <w:r>
        <w:rPr>
          <w:rStyle w:val="OtherTok"/>
        </w:rPr>
        <w:t xml:space="preserve"> code=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&gt;10.12345/archive.2025.001&lt;/</w:t>
      </w:r>
      <w:r>
        <w:rPr>
          <w:rStyle w:val="KeywordTok"/>
        </w:rPr>
        <w:t xml:space="preserve">subfield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subfield</w:t>
      </w:r>
      <w:r>
        <w:rPr>
          <w:rStyle w:val="OtherTok"/>
        </w:rPr>
        <w:t xml:space="preserve"> code=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&gt;doi&lt;/</w:t>
      </w:r>
      <w:r>
        <w:rPr>
          <w:rStyle w:val="KeywordTok"/>
        </w:rPr>
        <w:t xml:space="preserve">subfield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datafield</w:t>
      </w:r>
      <w:r>
        <w:rPr>
          <w:rStyle w:val="NormalTok"/>
        </w:rPr>
        <w:t xml:space="preserve">&gt;</w:t>
      </w:r>
    </w:p>
    <w:bookmarkEnd w:id="50"/>
    <w:bookmarkStart w:id="51" w:name="doi-export-options"/>
    <w:p>
      <w:pPr>
        <w:pStyle w:val="Heading3"/>
      </w:pPr>
      <w:r>
        <w:t xml:space="preserve">DOI Export Options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--include-doi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DOI in export (default: yes)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--mint-doi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new DOI for records without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--doi-state=STATE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for new DOIs: draft, registered, findable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--skip-no-doi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export records that have DOIs</w:t>
            </w:r>
          </w:p>
        </w:tc>
      </w:tr>
    </w:tbl>
    <w:bookmarkEnd w:id="51"/>
    <w:bookmarkStart w:id="52" w:name="cli-examples-with-doi"/>
    <w:p>
      <w:pPr>
        <w:pStyle w:val="Heading3"/>
      </w:pPr>
      <w:r>
        <w:t xml:space="preserve">CLI Examples with DOI</w:t>
      </w:r>
    </w:p>
    <w:p>
      <w:pPr>
        <w:pStyle w:val="FirstParagraph"/>
      </w:pPr>
      <w:r>
        <w:rPr>
          <w:bCs/>
          <w:b/>
        </w:rPr>
        <w:t xml:space="preserve">Export records with existing DOIs: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ead3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/exports/</w:t>
      </w:r>
    </w:p>
    <w:p>
      <w:pPr>
        <w:pStyle w:val="FirstParagraph"/>
      </w:pPr>
      <w:r>
        <w:rPr>
          <w:bCs/>
          <w:b/>
        </w:rPr>
        <w:t xml:space="preserve">Export only records that have DOIs: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marc21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--skip-no-doi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/exports/</w:t>
      </w:r>
    </w:p>
    <w:p>
      <w:pPr>
        <w:pStyle w:val="FirstParagraph"/>
      </w:pPr>
      <w:r>
        <w:rPr>
          <w:bCs/>
          <w:b/>
        </w:rPr>
        <w:t xml:space="preserve">Mint DOIs during export (requires ahgDoiPlugin):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rico </w:t>
      </w:r>
      <w:r>
        <w:rPr>
          <w:rStyle w:val="AttributeTok"/>
        </w:rPr>
        <w:t xml:space="preserve">--slug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my-fonds </w:t>
      </w:r>
      <w:r>
        <w:rPr>
          <w:rStyle w:val="AttributeTok"/>
        </w:rPr>
        <w:t xml:space="preserve">--mint-doi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--doi-state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findable</w:t>
      </w:r>
    </w:p>
    <w:bookmarkEnd w:id="52"/>
    <w:bookmarkStart w:id="53" w:name="benefits-of-doi-in-exports"/>
    <w:p>
      <w:pPr>
        <w:pStyle w:val="Heading3"/>
      </w:pPr>
      <w:r>
        <w:t xml:space="preserve">Benefits of DOI in Exports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Persistent citation</w:t>
      </w:r>
      <w:r>
        <w:t xml:space="preserve"> </w:t>
      </w:r>
      <w:r>
        <w:t xml:space="preserve">- Recipients can cite your records with a permanent link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Interoperability</w:t>
      </w:r>
      <w:r>
        <w:t xml:space="preserve"> </w:t>
      </w:r>
      <w:r>
        <w:t xml:space="preserve">- DOIs are recognized by academic databases and discovery systems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Linked data</w:t>
      </w:r>
      <w:r>
        <w:t xml:space="preserve"> </w:t>
      </w:r>
      <w:r>
        <w:t xml:space="preserve">- DOIs provide a stable URI for semantic web applications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Tracking</w:t>
      </w:r>
      <w:r>
        <w:t xml:space="preserve"> </w:t>
      </w:r>
      <w:r>
        <w:t xml:space="preserve">- DataCite provides usage statistics for your DOIs</w:t>
      </w:r>
    </w:p>
    <w:bookmarkEnd w:id="53"/>
    <w:bookmarkStart w:id="54" w:name="requirements"/>
    <w:p>
      <w:pPr>
        <w:pStyle w:val="Heading3"/>
      </w:pPr>
      <w:r>
        <w:t xml:space="preserve">Requirements</w:t>
      </w:r>
    </w:p>
    <w:p>
      <w:pPr>
        <w:numPr>
          <w:ilvl w:val="0"/>
          <w:numId w:val="1004"/>
        </w:numPr>
        <w:pStyle w:val="Compact"/>
      </w:pPr>
      <w:r>
        <w:t xml:space="preserve">DOIs are managed via the</w:t>
      </w:r>
      <w:r>
        <w:t xml:space="preserve"> </w:t>
      </w:r>
      <w:r>
        <w:rPr>
          <w:bCs/>
          <w:b/>
        </w:rPr>
        <w:t xml:space="preserve">ahgDoiPlugin</w:t>
      </w:r>
      <w:r>
        <w:t xml:space="preserve"> </w:t>
      </w:r>
      <w:r>
        <w:t xml:space="preserve">(DOI Management module)</w:t>
      </w:r>
    </w:p>
    <w:p>
      <w:pPr>
        <w:numPr>
          <w:ilvl w:val="0"/>
          <w:numId w:val="1004"/>
        </w:numPr>
        <w:pStyle w:val="Compact"/>
      </w:pPr>
      <w:r>
        <w:t xml:space="preserve">DOI minting requires DataCite credentials configured in Admin &gt; DOI Settings</w:t>
      </w:r>
    </w:p>
    <w:p>
      <w:pPr>
        <w:numPr>
          <w:ilvl w:val="0"/>
          <w:numId w:val="1004"/>
        </w:numPr>
        <w:pStyle w:val="Compact"/>
      </w:pPr>
      <w:r>
        <w:t xml:space="preserve">Existing DOIs are included automatically; no configuration needed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scheduling-automated-exports"/>
    <w:p>
      <w:pPr>
        <w:pStyle w:val="Heading2"/>
      </w:pPr>
      <w:r>
        <w:t xml:space="preserve">Scheduling Automated Exports</w:t>
      </w:r>
    </w:p>
    <w:bookmarkStart w:id="56" w:name="cron-job-examples"/>
    <w:p>
      <w:pPr>
        <w:pStyle w:val="Heading3"/>
      </w:pPr>
      <w:r>
        <w:t xml:space="preserve">Cron Job Examples</w:t>
      </w:r>
    </w:p>
    <w:p>
      <w:pPr>
        <w:pStyle w:val="FirstParagraph"/>
      </w:pPr>
      <w:r>
        <w:t xml:space="preserve">Set up regular exports for data synchronization:</w:t>
      </w:r>
    </w:p>
    <w:p>
      <w:pPr>
        <w:pStyle w:val="BodyText"/>
      </w:pPr>
      <w:r>
        <w:rPr>
          <w:bCs/>
          <w:b/>
        </w:rPr>
        <w:t xml:space="preserve">Weekly EAD3 export (Sundays at 2am):</w:t>
      </w:r>
    </w:p>
    <w:p>
      <w:pPr>
        <w:pStyle w:val="SourceCode"/>
      </w:pP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ead3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/exports/ead3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/var/log/atom/ead3-export.log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bCs/>
          <w:b/>
        </w:rPr>
        <w:t xml:space="preserve">Daily PREMIS export for preservation (4am):</w:t>
      </w:r>
    </w:p>
    <w:p>
      <w:pPr>
        <w:pStyle w:val="SourceCode"/>
      </w:pPr>
      <w:r>
        <w:rPr>
          <w:rStyle w:val="ExtensionTok"/>
        </w:rPr>
        <w:t xml:space="preserve">0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premis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/exports/premis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/var/log/atom/premis-export.log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bCs/>
          <w:b/>
        </w:rPr>
        <w:t xml:space="preserve">Monthly all-format export (1st of month, 3am):</w:t>
      </w:r>
    </w:p>
    <w:p>
      <w:pPr>
        <w:pStyle w:val="SourceCode"/>
      </w:pPr>
      <w:r>
        <w:rPr>
          <w:rStyle w:val="ExtensionTok"/>
        </w:rPr>
        <w:t xml:space="preserve">0</w:t>
      </w:r>
      <w:r>
        <w:rPr>
          <w:rStyle w:val="NormalTok"/>
        </w:rPr>
        <w:t xml:space="preserve"> 3 1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metadata:export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/exports/monthly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/var/log/atom/monthly-export.log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tips-for-successful-exports"/>
    <w:p>
      <w:pPr>
        <w:pStyle w:val="Heading2"/>
      </w:pPr>
      <w:r>
        <w:t xml:space="preserve">Tips for Successful Exports</w:t>
      </w:r>
    </w:p>
    <w:bookmarkStart w:id="58" w:name="before-exporting"/>
    <w:p>
      <w:pPr>
        <w:pStyle w:val="Heading3"/>
      </w:pPr>
      <w:r>
        <w:t xml:space="preserve">Before Exporting</w:t>
      </w:r>
    </w:p>
    <w:p>
      <w:pPr>
        <w:numPr>
          <w:ilvl w:val="0"/>
          <w:numId w:val="1005"/>
        </w:numPr>
        <w:pStyle w:val="Compact"/>
      </w:pPr>
      <w:r>
        <w:t xml:space="preserve">Know what format your recipient needs</w:t>
      </w:r>
    </w:p>
    <w:p>
      <w:pPr>
        <w:numPr>
          <w:ilvl w:val="0"/>
          <w:numId w:val="1005"/>
        </w:numPr>
        <w:pStyle w:val="Compact"/>
      </w:pPr>
      <w:r>
        <w:t xml:space="preserve">Check if they need hierarchical (children) data</w:t>
      </w:r>
    </w:p>
    <w:p>
      <w:pPr>
        <w:numPr>
          <w:ilvl w:val="0"/>
          <w:numId w:val="1005"/>
        </w:numPr>
        <w:pStyle w:val="Compact"/>
      </w:pPr>
      <w:r>
        <w:t xml:space="preserve">Verify access permissions on records</w:t>
      </w:r>
    </w:p>
    <w:p>
      <w:pPr>
        <w:numPr>
          <w:ilvl w:val="0"/>
          <w:numId w:val="1005"/>
        </w:numPr>
        <w:pStyle w:val="Compact"/>
      </w:pPr>
      <w:r>
        <w:t xml:space="preserve">Test with a single record first</w:t>
      </w:r>
    </w:p>
    <w:bookmarkEnd w:id="58"/>
    <w:bookmarkStart w:id="59" w:name="for-archives-ead3-ric-o"/>
    <w:p>
      <w:pPr>
        <w:pStyle w:val="Heading3"/>
      </w:pPr>
      <w:r>
        <w:t xml:space="preserve">For Archives (EAD3, RIC-O)</w:t>
      </w:r>
    </w:p>
    <w:p>
      <w:pPr>
        <w:numPr>
          <w:ilvl w:val="0"/>
          <w:numId w:val="1006"/>
        </w:numPr>
        <w:pStyle w:val="Compact"/>
      </w:pPr>
      <w:r>
        <w:t xml:space="preserve">EAD3 is best for traditional finding aid systems</w:t>
      </w:r>
    </w:p>
    <w:p>
      <w:pPr>
        <w:numPr>
          <w:ilvl w:val="0"/>
          <w:numId w:val="1006"/>
        </w:numPr>
        <w:pStyle w:val="Compact"/>
      </w:pPr>
      <w:r>
        <w:t xml:space="preserve">RIC-O is best for linked data / semantic web projects</w:t>
      </w:r>
    </w:p>
    <w:p>
      <w:pPr>
        <w:numPr>
          <w:ilvl w:val="0"/>
          <w:numId w:val="1006"/>
        </w:numPr>
        <w:pStyle w:val="Compact"/>
      </w:pPr>
      <w:r>
        <w:t xml:space="preserve">Include children for complete hierarchies</w:t>
      </w:r>
    </w:p>
    <w:bookmarkEnd w:id="59"/>
    <w:bookmarkStart w:id="60" w:name="for-libraries-marc21-bibframe"/>
    <w:p>
      <w:pPr>
        <w:pStyle w:val="Heading3"/>
      </w:pPr>
      <w:r>
        <w:t xml:space="preserve">For Libraries (MARC21, BIBFRAME)</w:t>
      </w:r>
    </w:p>
    <w:p>
      <w:pPr>
        <w:numPr>
          <w:ilvl w:val="0"/>
          <w:numId w:val="1007"/>
        </w:numPr>
        <w:pStyle w:val="Compact"/>
      </w:pPr>
      <w:r>
        <w:t xml:space="preserve">MARC21 for traditional ILS systems</w:t>
      </w:r>
    </w:p>
    <w:p>
      <w:pPr>
        <w:numPr>
          <w:ilvl w:val="0"/>
          <w:numId w:val="1007"/>
        </w:numPr>
        <w:pStyle w:val="Compact"/>
      </w:pPr>
      <w:r>
        <w:t xml:space="preserve">BIBFRAME for modern linked data catalogs</w:t>
      </w:r>
    </w:p>
    <w:p>
      <w:pPr>
        <w:numPr>
          <w:ilvl w:val="0"/>
          <w:numId w:val="1007"/>
        </w:numPr>
        <w:pStyle w:val="Compact"/>
      </w:pPr>
      <w:r>
        <w:t xml:space="preserve">Check field mappings match your catalog’s needs</w:t>
      </w:r>
    </w:p>
    <w:bookmarkEnd w:id="60"/>
    <w:bookmarkStart w:id="61" w:name="for-museums-lido"/>
    <w:p>
      <w:pPr>
        <w:pStyle w:val="Heading3"/>
      </w:pPr>
      <w:r>
        <w:t xml:space="preserve">For Museums (LIDO)</w:t>
      </w:r>
    </w:p>
    <w:p>
      <w:pPr>
        <w:numPr>
          <w:ilvl w:val="0"/>
          <w:numId w:val="1008"/>
        </w:numPr>
        <w:pStyle w:val="Compact"/>
      </w:pPr>
      <w:r>
        <w:t xml:space="preserve">Include digital objects for image metadata</w:t>
      </w:r>
    </w:p>
    <w:p>
      <w:pPr>
        <w:numPr>
          <w:ilvl w:val="0"/>
          <w:numId w:val="1008"/>
        </w:numPr>
        <w:pStyle w:val="Compact"/>
      </w:pPr>
      <w:r>
        <w:t xml:space="preserve">LIDO is required for Europeana submission</w:t>
      </w:r>
    </w:p>
    <w:p>
      <w:pPr>
        <w:numPr>
          <w:ilvl w:val="0"/>
          <w:numId w:val="1008"/>
        </w:numPr>
        <w:pStyle w:val="Compact"/>
      </w:pPr>
      <w:r>
        <w:t xml:space="preserve">Check object type mappings</w:t>
      </w:r>
    </w:p>
    <w:bookmarkEnd w:id="61"/>
    <w:bookmarkStart w:id="62" w:name="for-preservation-premis"/>
    <w:p>
      <w:pPr>
        <w:pStyle w:val="Heading3"/>
      </w:pPr>
      <w:r>
        <w:t xml:space="preserve">For Preservation (PREMIS)</w:t>
      </w:r>
    </w:p>
    <w:p>
      <w:pPr>
        <w:numPr>
          <w:ilvl w:val="0"/>
          <w:numId w:val="1009"/>
        </w:numPr>
        <w:pStyle w:val="Compact"/>
      </w:pPr>
      <w:r>
        <w:t xml:space="preserve">Include digital objects for full preservation metadata</w:t>
      </w:r>
    </w:p>
    <w:p>
      <w:pPr>
        <w:numPr>
          <w:ilvl w:val="0"/>
          <w:numId w:val="1009"/>
        </w:numPr>
        <w:pStyle w:val="Compact"/>
      </w:pPr>
      <w:r>
        <w:t xml:space="preserve">PREMIS captures fixity, events, and rights</w:t>
      </w:r>
    </w:p>
    <w:p>
      <w:pPr>
        <w:numPr>
          <w:ilvl w:val="0"/>
          <w:numId w:val="1009"/>
        </w:numPr>
        <w:pStyle w:val="Compact"/>
      </w:pPr>
      <w:r>
        <w:t xml:space="preserve">Essential for AIP/SIP package creation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is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slug/repository ID is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fields may not map to the target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won’t 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exported XML with an online validator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JSON-LD won’t 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UTF-8 encoding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too 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smaller batches or schedule overnight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output directory is writable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finding-system-info"/>
    <w:p>
      <w:pPr>
        <w:pStyle w:val="Heading2"/>
      </w:pPr>
      <w:r>
        <w:t xml:space="preserve">Finding System Info</w:t>
      </w:r>
    </w:p>
    <w:p>
      <w:pPr>
        <w:pStyle w:val="FirstParagraph"/>
      </w:pPr>
      <w:r>
        <w:t xml:space="preserve">View available export formats and plugin status:</w:t>
      </w:r>
    </w:p>
    <w:p>
      <w:pPr>
        <w:numPr>
          <w:ilvl w:val="0"/>
          <w:numId w:val="1010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&gt; AHG Settings &gt; System Info</w:t>
      </w:r>
    </w:p>
    <w:p>
      <w:pPr>
        <w:numPr>
          <w:ilvl w:val="0"/>
          <w:numId w:val="1010"/>
        </w:numPr>
        <w:pStyle w:val="Compact"/>
      </w:pPr>
      <w:r>
        <w:t xml:space="preserve">Scroll to</w:t>
      </w:r>
      <w:r>
        <w:t xml:space="preserve"> </w:t>
      </w:r>
      <w:r>
        <w:rPr>
          <w:bCs/>
          <w:b/>
        </w:rPr>
        <w:t xml:space="preserve">GLAM Metadata Export Formats</w:t>
      </w:r>
      <w:r>
        <w:t xml:space="preserve"> </w:t>
      </w:r>
      <w:r>
        <w:t xml:space="preserve">section</w:t>
      </w:r>
    </w:p>
    <w:p>
      <w:pPr>
        <w:numPr>
          <w:ilvl w:val="0"/>
          <w:numId w:val="1010"/>
        </w:numPr>
        <w:pStyle w:val="Compact"/>
      </w:pPr>
      <w:r>
        <w:t xml:space="preserve">View all 9 formats with status indicators</w:t>
      </w:r>
    </w:p>
    <w:p>
      <w:pPr>
        <w:pStyle w:val="FirstParagraph"/>
      </w:pPr>
      <w:r>
        <w:t xml:space="preserve">View cron job examples:</w:t>
      </w:r>
    </w:p>
    <w:p>
      <w:pPr>
        <w:numPr>
          <w:ilvl w:val="0"/>
          <w:numId w:val="1011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Admin &gt; AHG Settings &gt; Cron Jobs</w:t>
      </w:r>
    </w:p>
    <w:p>
      <w:pPr>
        <w:numPr>
          <w:ilvl w:val="0"/>
          <w:numId w:val="1011"/>
        </w:numPr>
        <w:pStyle w:val="Compact"/>
      </w:pPr>
      <w:r>
        <w:t xml:space="preserve">Scroll to</w:t>
      </w:r>
      <w:r>
        <w:t xml:space="preserve"> </w:t>
      </w:r>
      <w:r>
        <w:rPr>
          <w:bCs/>
          <w:b/>
        </w:rPr>
        <w:t xml:space="preserve">Metadata Export</w:t>
      </w:r>
      <w:r>
        <w:t xml:space="preserve"> </w:t>
      </w:r>
      <w:r>
        <w:t xml:space="preserve">section</w:t>
      </w:r>
    </w:p>
    <w:p>
      <w:pPr>
        <w:numPr>
          <w:ilvl w:val="0"/>
          <w:numId w:val="1011"/>
        </w:numPr>
        <w:pStyle w:val="Compact"/>
      </w:pPr>
      <w:r>
        <w:t xml:space="preserve">Copy example commands for scheduling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technical support, contact your system administrator or The Archive and Heritage Group.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GLAM Metadata Export</dc:title>
  <dc:creator>The Archive and Heritage Group (Pty) Ltd</dc:creator>
  <cp:keywords/>
  <dcterms:created xsi:type="dcterms:W3CDTF">2026-06-03T17:40:08Z</dcterms:created>
  <dcterms:modified xsi:type="dcterms:W3CDTF">2026-06-03T17:40:08Z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