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Provenance Tracking</w:t>
      </w:r>
    </w:p>
    <w:p>
      <w:pPr>
        <w:pStyle w:val="Author"/>
      </w:pPr>
      <w:r>
        <w:t xml:space="preserve">The Archive and Heritage Group (Pty) Ltd</w:t>
      </w:r>
    </w:p>
    <w:bookmarkStart w:id="61" w:name="provenance-tracking"/>
    <w:p>
      <w:pPr>
        <w:pStyle w:val="Heading1"/>
      </w:pPr>
      <w:r>
        <w:t xml:space="preserve">Provenance Tracking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Track chain of custody and ownership history for archival records, museum objects, and library materials.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PROVENANCE TRACKING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WHO            WHAT            WHEN           WHERE       |</w:t>
      </w:r>
      <w:r>
        <w:br/>
      </w:r>
      <w:r>
        <w:rPr>
          <w:rStyle w:val="VerbatimChar"/>
        </w:rPr>
        <w:t xml:space="preserve">|    |              |               |               |         |</w:t>
      </w:r>
      <w:r>
        <w:br/>
      </w:r>
      <w:r>
        <w:rPr>
          <w:rStyle w:val="VerbatimChar"/>
        </w:rPr>
        <w:t xml:space="preserve">|    v              v               v               v         |</w:t>
      </w:r>
      <w:r>
        <w:br/>
      </w:r>
      <w:r>
        <w:rPr>
          <w:rStyle w:val="VerbatimChar"/>
        </w:rPr>
        <w:t xml:space="preserve">|  Owner/        Transfer        Date of        Location      |</w:t>
      </w:r>
      <w:r>
        <w:br/>
      </w:r>
      <w:r>
        <w:rPr>
          <w:rStyle w:val="VerbatimChar"/>
        </w:rPr>
        <w:t xml:space="preserve">|  Holder        Event           Event          Details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              |                                   |</w:t>
      </w:r>
      <w:r>
        <w:br/>
      </w:r>
      <w:r>
        <w:rPr>
          <w:rStyle w:val="VerbatimChar"/>
        </w:rPr>
        <w:t xml:space="preserve">|                         v                                   |</w:t>
      </w:r>
      <w:r>
        <w:br/>
      </w:r>
      <w:r>
        <w:rPr>
          <w:rStyle w:val="VerbatimChar"/>
        </w:rPr>
        <w:t xml:space="preserve">|           CHAIN OF CUSTODY TIMELINE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what-is-provenance"/>
    <w:p>
      <w:pPr>
        <w:pStyle w:val="Heading2"/>
      </w:pPr>
      <w:r>
        <w:t xml:space="preserve">What is Provenance?</w:t>
      </w:r>
    </w:p>
    <w:p>
      <w:pPr>
        <w:pStyle w:val="FirstParagraph"/>
      </w:pPr>
      <w:r>
        <w:t xml:space="preserve">Provenance is the chronological history of ownership, custody, or location of a historical object. Proper provenance research is essential for museums, archives, and libraries to establish authenticity, legal ownership, and cultural significance of their collections.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WHY PROVENANCE MATTERS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* Establishes legal ownership                              |</w:t>
      </w:r>
      <w:r>
        <w:br/>
      </w:r>
      <w:r>
        <w:rPr>
          <w:rStyle w:val="VerbatimChar"/>
        </w:rPr>
        <w:t xml:space="preserve">|  * Verifies authenticity                                    |</w:t>
      </w:r>
      <w:r>
        <w:br/>
      </w:r>
      <w:r>
        <w:rPr>
          <w:rStyle w:val="VerbatimChar"/>
        </w:rPr>
        <w:t xml:space="preserve">|  * Documents cultural significance                          |</w:t>
      </w:r>
      <w:r>
        <w:br/>
      </w:r>
      <w:r>
        <w:rPr>
          <w:rStyle w:val="VerbatimChar"/>
        </w:rPr>
        <w:t xml:space="preserve">|  * Identifies gaps in ownership history                     |</w:t>
      </w:r>
      <w:r>
        <w:br/>
      </w:r>
      <w:r>
        <w:rPr>
          <w:rStyle w:val="VerbatimChar"/>
        </w:rPr>
        <w:t xml:space="preserve">|  * Supports Nazi-era due diligence (museums)                |</w:t>
      </w:r>
      <w:r>
        <w:br/>
      </w:r>
      <w:r>
        <w:rPr>
          <w:rStyle w:val="VerbatimChar"/>
        </w:rPr>
        <w:t xml:space="preserve">|  * Tracks cultural property claims                          |</w:t>
      </w:r>
      <w:r>
        <w:br/>
      </w:r>
      <w:r>
        <w:rPr>
          <w:rStyle w:val="VerbatimChar"/>
        </w:rPr>
        <w:t xml:space="preserve">|  * Maintains donor relationships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PLUGIN FEATURES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* Chain of custody timeline with event tracking            |</w:t>
      </w:r>
      <w:r>
        <w:br/>
      </w:r>
      <w:r>
        <w:rPr>
          <w:rStyle w:val="VerbatimChar"/>
        </w:rPr>
        <w:t xml:space="preserve">|  * Certainty levels for each provenance claim               |</w:t>
      </w:r>
      <w:r>
        <w:br/>
      </w:r>
      <w:r>
        <w:rPr>
          <w:rStyle w:val="VerbatimChar"/>
        </w:rPr>
        <w:t xml:space="preserve">|  * Nazi-era provenance checking (1933-1945)                 |</w:t>
      </w:r>
      <w:r>
        <w:br/>
      </w:r>
      <w:r>
        <w:rPr>
          <w:rStyle w:val="VerbatimChar"/>
        </w:rPr>
        <w:t xml:space="preserve">|  * Cultural property status tracking                        |</w:t>
      </w:r>
      <w:r>
        <w:br/>
      </w:r>
      <w:r>
        <w:rPr>
          <w:rStyle w:val="VerbatimChar"/>
        </w:rPr>
        <w:t xml:space="preserve">|  * Supporting document management                           |</w:t>
      </w:r>
      <w:r>
        <w:br/>
      </w:r>
      <w:r>
        <w:rPr>
          <w:rStyle w:val="VerbatimChar"/>
        </w:rPr>
        <w:t xml:space="preserve">|  * Integration with donor agreements                        |</w:t>
      </w:r>
      <w:r>
        <w:br/>
      </w:r>
      <w:r>
        <w:rPr>
          <w:rStyle w:val="VerbatimChar"/>
        </w:rPr>
        <w:t xml:space="preserve">|  * Visual timeline visualization with D3.js                 |</w:t>
      </w:r>
      <w:r>
        <w:br/>
      </w:r>
      <w:r>
        <w:rPr>
          <w:rStyle w:val="VerbatimChar"/>
        </w:rPr>
        <w:t xml:space="preserve">|  * Agent/owner management with autocomplete                 |</w:t>
      </w:r>
      <w:r>
        <w:br/>
      </w:r>
      <w:r>
        <w:rPr>
          <w:rStyle w:val="VerbatimChar"/>
        </w:rPr>
        <w:t xml:space="preserve">|  * Multi-language support (i18n)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Record View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More Menu / Actions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Provenance -------------------------------------+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View Provenance    (read-only view)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Edit Provenance    (add/modify)    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View Timeline      (visual display)   |</w:t>
      </w:r>
    </w:p>
    <w:p>
      <w:pPr>
        <w:pStyle w:val="FirstParagraph"/>
      </w:pPr>
      <w:r>
        <w:t xml:space="preserve">Alternatively, navigate directly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/provenance</w:t>
      </w:r>
      <w:r>
        <w:t xml:space="preserve"> </w:t>
      </w:r>
      <w:r>
        <w:t xml:space="preserve">- Dashboard with statistics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/provenance/[slug]</w:t>
      </w:r>
      <w:r>
        <w:t xml:space="preserve"> </w:t>
      </w:r>
      <w:r>
        <w:t xml:space="preserve">- View provenance for a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/provenance/[slug]/edit</w:t>
      </w:r>
      <w:r>
        <w:t xml:space="preserve"> </w:t>
      </w:r>
      <w:r>
        <w:t xml:space="preserve">- Edit provenance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/provenance/[slug]/timeline</w:t>
      </w:r>
      <w:r>
        <w:t xml:space="preserve"> </w:t>
      </w:r>
      <w:r>
        <w:t xml:space="preserve">- Visual timeline</w:t>
      </w:r>
    </w:p>
    <w:p>
      <w:r>
        <w:pict>
          <v:rect style="width:0;height:1.5pt" o:hralign="center" o:hrstd="t" o:hr="t"/>
        </w:pict>
      </w:r>
    </w:p>
    <w:bookmarkEnd w:id="24"/>
    <w:bookmarkStart w:id="26" w:name="viewing-provenance"/>
    <w:p>
      <w:pPr>
        <w:pStyle w:val="Heading2"/>
      </w:pPr>
      <w:r>
        <w:t xml:space="preserve">Viewing Provenance</w:t>
      </w:r>
    </w:p>
    <w:bookmarkStart w:id="25" w:name="provenance-view-page"/>
    <w:p>
      <w:pPr>
        <w:pStyle w:val="Heading3"/>
      </w:pPr>
      <w:r>
        <w:t xml:space="preserve">Provenance View Page</w:t>
      </w:r>
    </w:p>
    <w:p>
      <w:pPr>
        <w:pStyle w:val="FirstParagraph"/>
      </w:pPr>
      <w:r>
        <w:t xml:space="preserve">When viewing provenance for a record, you will see: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PROVENANCE &amp; CHAIN OF CUSTODY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Record: [Title of Item]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PROVENANCE SUMMARY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Created by John Smith (1920); Sold by Smith Family    |  |</w:t>
      </w:r>
      <w:r>
        <w:br/>
      </w:r>
      <w:r>
        <w:rPr>
          <w:rStyle w:val="VerbatimChar"/>
        </w:rPr>
        <w:t xml:space="preserve">|  | to City Museum (1985), New York.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CHAIN OF CUSTODY TIMELINE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o-- 1920: Creation - By John Smith                    |  |</w:t>
      </w:r>
      <w:r>
        <w:br/>
      </w:r>
      <w:r>
        <w:rPr>
          <w:rStyle w:val="VerbatimChar"/>
        </w:rPr>
        <w:t xml:space="preserve">|  | |   [Certain]                                         |  |</w:t>
      </w:r>
      <w:r>
        <w:br/>
      </w:r>
      <w:r>
        <w:rPr>
          <w:rStyle w:val="VerbatimChar"/>
        </w:rPr>
        <w:t xml:space="preserve">|  | |                                                     |  |</w:t>
      </w:r>
      <w:r>
        <w:br/>
      </w:r>
      <w:r>
        <w:rPr>
          <w:rStyle w:val="VerbatimChar"/>
        </w:rPr>
        <w:t xml:space="preserve">|  | o-- 1950: Inheritance - To Smith Family               |  |</w:t>
      </w:r>
      <w:r>
        <w:br/>
      </w:r>
      <w:r>
        <w:rPr>
          <w:rStyle w:val="VerbatimChar"/>
        </w:rPr>
        <w:t xml:space="preserve">|  | |   [Probable]                                        |  |</w:t>
      </w:r>
      <w:r>
        <w:br/>
      </w:r>
      <w:r>
        <w:rPr>
          <w:rStyle w:val="VerbatimChar"/>
        </w:rPr>
        <w:t xml:space="preserve">|  | |                                                     |  |</w:t>
      </w:r>
      <w:r>
        <w:br/>
      </w:r>
      <w:r>
        <w:rPr>
          <w:rStyle w:val="VerbatimChar"/>
        </w:rPr>
        <w:t xml:space="preserve">|  | o-- 1985: Donation - Smith Family -&gt; City Museum      |  |</w:t>
      </w:r>
      <w:r>
        <w:br/>
      </w:r>
      <w:r>
        <w:rPr>
          <w:rStyle w:val="VerbatimChar"/>
        </w:rPr>
        <w:t xml:space="preserve">|  |     [Certain] @ New York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STATUS                    NAZI-ERA CHECK                   |</w:t>
      </w:r>
      <w:r>
        <w:br/>
      </w:r>
      <w:r>
        <w:rPr>
          <w:rStyle w:val="VerbatimChar"/>
        </w:rPr>
        <w:t xml:space="preserve">|  +---------------------+   +-----------------------------+  |</w:t>
      </w:r>
      <w:r>
        <w:br/>
      </w:r>
      <w:r>
        <w:rPr>
          <w:rStyle w:val="VerbatimChar"/>
        </w:rPr>
        <w:t xml:space="preserve">|  | Status: Owned       |   | [x] Checked                 |  |</w:t>
      </w:r>
      <w:r>
        <w:br/>
      </w:r>
      <w:r>
        <w:rPr>
          <w:rStyle w:val="VerbatimChar"/>
        </w:rPr>
        <w:t xml:space="preserve">|  | Custody: Permanent  |   | [x] Clear - No issues       |  |</w:t>
      </w:r>
      <w:r>
        <w:br/>
      </w:r>
      <w:r>
        <w:rPr>
          <w:rStyle w:val="VerbatimChar"/>
        </w:rPr>
        <w:t xml:space="preserve">|  | Certainty: Certain  |   +-----------------------------+  |</w:t>
      </w:r>
      <w:r>
        <w:br/>
      </w:r>
      <w:r>
        <w:rPr>
          <w:rStyle w:val="VerbatimChar"/>
        </w:rPr>
        <w:t xml:space="preserve">|  +---------------------+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ddingediting-provenance"/>
    <w:p>
      <w:pPr>
        <w:pStyle w:val="Heading2"/>
      </w:pPr>
      <w:r>
        <w:t xml:space="preserve">Adding/Editing Provenance</w:t>
      </w:r>
    </w:p>
    <w:bookmarkStart w:id="27" w:name="step-1-navigate-to-edit"/>
    <w:p>
      <w:pPr>
        <w:pStyle w:val="Heading3"/>
      </w:pPr>
      <w:r>
        <w:t xml:space="preserve">Step 1: Navigate to Edit</w:t>
      </w:r>
    </w:p>
    <w:p>
      <w:pPr>
        <w:pStyle w:val="FirstParagraph"/>
      </w:pPr>
      <w:r>
        <w:t xml:space="preserve">Go to a record and click</w:t>
      </w:r>
      <w:r>
        <w:t xml:space="preserve"> </w:t>
      </w:r>
      <w:r>
        <w:rPr>
          <w:bCs/>
          <w:b/>
        </w:rPr>
        <w:t xml:space="preserve">Edit Provenance</w:t>
      </w:r>
      <w:r>
        <w:t xml:space="preserve"> </w:t>
      </w:r>
      <w:r>
        <w:t xml:space="preserve">or navigate to</w:t>
      </w:r>
      <w:r>
        <w:t xml:space="preserve"> </w:t>
      </w:r>
      <w:r>
        <w:rPr>
          <w:rStyle w:val="VerbatimChar"/>
        </w:rPr>
        <w:t xml:space="preserve">/provenance/[slug]/edit</w:t>
      </w:r>
    </w:p>
    <w:bookmarkEnd w:id="27"/>
    <w:bookmarkStart w:id="28" w:name="step-2-complete-the-form"/>
    <w:p>
      <w:pPr>
        <w:pStyle w:val="Heading3"/>
      </w:pPr>
      <w:r>
        <w:t xml:space="preserve">Step 2: Complete the Form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PROVENANCE SUMMARY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Provenance Statement: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Enter a human-readable summary of the item's          |   |</w:t>
      </w:r>
      <w:r>
        <w:br/>
      </w:r>
      <w:r>
        <w:rPr>
          <w:rStyle w:val="VerbatimChar"/>
        </w:rPr>
        <w:t xml:space="preserve">| | provenance history...                                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(Leave blank to auto-generate from events)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ACQUISITION DETAILS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Acquisition Type:  [Donation        v]                      |</w:t>
      </w:r>
      <w:r>
        <w:br/>
      </w:r>
      <w:r>
        <w:rPr>
          <w:rStyle w:val="VerbatimChar"/>
        </w:rPr>
        <w:t xml:space="preserve">| Acquisition Date:  [1985-06-15      ]                       |</w:t>
      </w:r>
      <w:r>
        <w:br/>
      </w:r>
      <w:r>
        <w:rPr>
          <w:rStyle w:val="VerbatimChar"/>
        </w:rPr>
        <w:t xml:space="preserve">| Date (Text):       [circa 1985      ]  (for imprecise)      |</w:t>
      </w:r>
      <w:r>
        <w:br/>
      </w:r>
      <w:r>
        <w:rPr>
          <w:rStyle w:val="VerbatimChar"/>
        </w:rPr>
        <w:t xml:space="preserve">| Price:             [               ]                        |</w:t>
      </w:r>
      <w:r>
        <w:br/>
      </w:r>
      <w:r>
        <w:rPr>
          <w:rStyle w:val="VerbatimChar"/>
        </w:rPr>
        <w:t xml:space="preserve">| Currency:          [ZAR             v]                      |</w:t>
      </w:r>
      <w:r>
        <w:br/>
      </w:r>
      <w:r>
        <w:rPr>
          <w:rStyle w:val="VerbatimChar"/>
        </w:rPr>
        <w:t xml:space="preserve">| Notes:             [Gift from estate                    ]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step-3-add-chain-of-custody-events"/>
    <w:p>
      <w:pPr>
        <w:pStyle w:val="Heading3"/>
      </w:pPr>
      <w:r>
        <w:t xml:space="preserve">Step 3: Add Chain of Custody Events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Add Event</w:t>
      </w:r>
      <w:r>
        <w:t xml:space="preserve"> </w:t>
      </w:r>
      <w:r>
        <w:t xml:space="preserve">to record ownership changes: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CHAIN OF CUSTODY EVENTS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EVENT 1                                              [X]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Type: [Donation     v] Date: [1985-06-15]             |   |</w:t>
      </w:r>
      <w:r>
        <w:br/>
      </w:r>
      <w:r>
        <w:rPr>
          <w:rStyle w:val="VerbatimChar"/>
        </w:rPr>
        <w:t xml:space="preserve">| | Date Text: [         ] Certainty: [Certain  v]        |   |</w:t>
      </w:r>
      <w:r>
        <w:br/>
      </w:r>
      <w:r>
        <w:rPr>
          <w:rStyle w:val="VerbatimChar"/>
        </w:rPr>
        <w:t xml:space="preserve">| | From: [Smith Family    ] To: [City Museum    ]        |   |</w:t>
      </w:r>
      <w:r>
        <w:br/>
      </w:r>
      <w:r>
        <w:rPr>
          <w:rStyle w:val="VerbatimChar"/>
        </w:rPr>
        <w:t xml:space="preserve">| | Location: [New York              ]                    |   |</w:t>
      </w:r>
      <w:r>
        <w:br/>
      </w:r>
      <w:r>
        <w:rPr>
          <w:rStyle w:val="VerbatimChar"/>
        </w:rPr>
        <w:t xml:space="preserve">| | Notes: [Gift from estate                          ]  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EVENT 2                                              [X]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Type: [Inheritance  v] Date: [1950-01-01]             |   |</w:t>
      </w:r>
      <w:r>
        <w:br/>
      </w:r>
      <w:r>
        <w:rPr>
          <w:rStyle w:val="VerbatimChar"/>
        </w:rPr>
        <w:t xml:space="preserve">| | Date Text: [circa 1950] Certainty: [Probable v]       |   |</w:t>
      </w:r>
      <w:r>
        <w:br/>
      </w:r>
      <w:r>
        <w:rPr>
          <w:rStyle w:val="VerbatimChar"/>
        </w:rPr>
        <w:t xml:space="preserve">| | From: [John Smith     ] To: [Smith Family    ]        |   |</w:t>
      </w:r>
      <w:r>
        <w:br/>
      </w:r>
      <w:r>
        <w:rPr>
          <w:rStyle w:val="VerbatimChar"/>
        </w:rPr>
        <w:t xml:space="preserve">| | Location: [                      ]                   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                 [+ Add Event]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event-types"/>
    <w:p>
      <w:pPr>
        <w:pStyle w:val="Heading2"/>
      </w:pPr>
      <w:r>
        <w:t xml:space="preserve">Event Types</w:t>
      </w:r>
    </w:p>
    <w:p>
      <w:pPr>
        <w:pStyle w:val="FirstParagraph"/>
      </w:pPr>
      <w:r>
        <w:t xml:space="preserve">Events are organized into categories:</w:t>
      </w:r>
    </w:p>
    <w:bookmarkStart w:id="31" w:name="ownership-changes"/>
    <w:p>
      <w:pPr>
        <w:pStyle w:val="Heading3"/>
      </w:pPr>
      <w:r>
        <w:t xml:space="preserve">Ownership Changes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sold to new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purchased from 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 at public auction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as a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Donated (usually to institution)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in a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down through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Descent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within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between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Traded for another item</w:t>
            </w:r>
          </w:p>
        </w:tc>
      </w:tr>
    </w:tbl>
    <w:bookmarkEnd w:id="31"/>
    <w:bookmarkStart w:id="32" w:name="loans-deposits"/>
    <w:p>
      <w:pPr>
        <w:pStyle w:val="Heading3"/>
      </w:pPr>
      <w:r>
        <w:t xml:space="preserve">Loans &amp; Deposits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loaned to another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from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Placed in custody (not ownership)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deposit</w:t>
            </w:r>
          </w:p>
        </w:tc>
      </w:tr>
    </w:tbl>
    <w:bookmarkEnd w:id="32"/>
    <w:bookmarkStart w:id="33" w:name="creation-discovery"/>
    <w:p>
      <w:pPr>
        <w:pStyle w:val="Heading3"/>
      </w:pPr>
      <w:r>
        <w:t xml:space="preserve">Creation &amp; Discovery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item was made/created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to be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or unearthed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Excavation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Archaeological recovery</w:t>
            </w:r>
          </w:p>
        </w:tc>
      </w:tr>
    </w:tbl>
    <w:bookmarkEnd w:id="33"/>
    <w:bookmarkStart w:id="34" w:name="loss-recovery"/>
    <w:p>
      <w:pPr>
        <w:pStyle w:val="Heading3"/>
      </w:pPr>
      <w:r>
        <w:t xml:space="preserve">Loss &amp; Recovery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Stolen from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after theft/loss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Confiscation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Seized by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to rightful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Repatriation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to country/community of origin</w:t>
            </w:r>
          </w:p>
        </w:tc>
      </w:tr>
    </w:tbl>
    <w:bookmarkEnd w:id="34"/>
    <w:bookmarkStart w:id="35" w:name="movement"/>
    <w:p>
      <w:pPr>
        <w:pStyle w:val="Heading3"/>
      </w:pPr>
      <w:r>
        <w:t xml:space="preserve">Movement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into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out of country</w:t>
            </w:r>
          </w:p>
        </w:tc>
      </w:tr>
    </w:tbl>
    <w:bookmarkEnd w:id="35"/>
    <w:bookmarkStart w:id="36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as genuine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Valued for insurance/sale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Repair/restoration work</w:t>
            </w:r>
          </w:p>
        </w:tc>
      </w:tr>
    </w:tbl>
    <w:bookmarkEnd w:id="36"/>
    <w:bookmarkStart w:id="37" w:name="institutional"/>
    <w:p>
      <w:pPr>
        <w:pStyle w:val="Heading3"/>
      </w:pPr>
      <w:r>
        <w:t xml:space="preserve">Institutional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collection formally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Deaccessioning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certainty-levels"/>
    <w:p>
      <w:pPr>
        <w:pStyle w:val="Heading2"/>
      </w:pPr>
      <w:r>
        <w:t xml:space="preserve">Certainty Levels</w:t>
      </w:r>
    </w:p>
    <w:p>
      <w:pPr>
        <w:pStyle w:val="FirstParagraph"/>
      </w:pPr>
      <w:r>
        <w:t xml:space="preserve">Each event and the overall provenance can be assigned a certainty level:</w:t>
      </w:r>
    </w:p>
    <w:p>
      <w:pPr>
        <w:pStyle w:val="SourceCode"/>
      </w:pP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 Level      |               Description     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Certain     | Documented evidence (invoices, receipts,      |</w:t>
      </w:r>
      <w:r>
        <w:br/>
      </w:r>
      <w:r>
        <w:rPr>
          <w:rStyle w:val="VerbatimChar"/>
        </w:rPr>
        <w:t xml:space="preserve">|               | photographs, correspondence)  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Probable    | Strong circumstantial evidence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Possible    | Some supporting evidence      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Uncertain   | Limited evidence              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  <w:r>
        <w:br/>
      </w:r>
      <w:r>
        <w:rPr>
          <w:rStyle w:val="VerbatimChar"/>
        </w:rPr>
        <w:t xml:space="preserve">|   Unknown     | No evidence available                         |</w:t>
      </w:r>
      <w:r>
        <w:br/>
      </w:r>
      <w:r>
        <w:rPr>
          <w:rStyle w:val="VerbatimChar"/>
        </w:rPr>
        <w:t xml:space="preserve">+---------------+-----------------------------------------------+</w:t>
      </w:r>
    </w:p>
    <w:p>
      <w:r>
        <w:pict>
          <v:rect style="width:0;height:1.5pt" o:hralign="center" o:hrstd="t" o:hr="t"/>
        </w:pict>
      </w:r>
    </w:p>
    <w:bookmarkEnd w:id="39"/>
    <w:bookmarkStart w:id="42" w:name="status-options"/>
    <w:p>
      <w:pPr>
        <w:pStyle w:val="Heading2"/>
      </w:pPr>
      <w:r>
        <w:t xml:space="preserve">Status Options</w:t>
      </w:r>
    </w:p>
    <w:bookmarkStart w:id="40" w:name="current-status"/>
    <w:p>
      <w:pPr>
        <w:pStyle w:val="Heading3"/>
      </w:pPr>
      <w:r>
        <w:t xml:space="preserve">Current Status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Owned</w:t>
      </w:r>
      <w:r>
        <w:t xml:space="preserve"> </w:t>
      </w:r>
      <w:r>
        <w:t xml:space="preserve">- Institution has full ownership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Loan</w:t>
      </w:r>
      <w:r>
        <w:t xml:space="preserve"> </w:t>
      </w:r>
      <w:r>
        <w:t xml:space="preserve">- Temporarily held from another owner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Deposited</w:t>
      </w:r>
      <w:r>
        <w:t xml:space="preserve"> </w:t>
      </w:r>
      <w:r>
        <w:t xml:space="preserve">- In custody but not owned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Unknown</w:t>
      </w:r>
      <w:r>
        <w:t xml:space="preserve"> </w:t>
      </w:r>
      <w:r>
        <w:t xml:space="preserve">- Ownership unclear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Disputed</w:t>
      </w:r>
      <w:r>
        <w:t xml:space="preserve"> </w:t>
      </w:r>
      <w:r>
        <w:t xml:space="preserve">- Ownership contested</w:t>
      </w:r>
    </w:p>
    <w:bookmarkEnd w:id="40"/>
    <w:bookmarkStart w:id="41" w:name="custody-type"/>
    <w:p>
      <w:pPr>
        <w:pStyle w:val="Heading3"/>
      </w:pPr>
      <w:r>
        <w:t xml:space="preserve">Custody 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Permanent</w:t>
      </w:r>
      <w:r>
        <w:t xml:space="preserve"> </w:t>
      </w:r>
      <w:r>
        <w:t xml:space="preserve">- Intended to remain indefinitely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Temporary</w:t>
      </w:r>
      <w:r>
        <w:t xml:space="preserve"> </w:t>
      </w:r>
      <w:r>
        <w:t xml:space="preserve">- Time-limited custody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Loan</w:t>
      </w:r>
      <w:r>
        <w:t xml:space="preserve"> </w:t>
      </w:r>
      <w:r>
        <w:t xml:space="preserve">- Borrowed from another party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Deposit</w:t>
      </w:r>
      <w:r>
        <w:t xml:space="preserve"> </w:t>
      </w:r>
      <w:r>
        <w:t xml:space="preserve">- Placed for safekeeping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azi-era-provenance-museums"/>
    <w:p>
      <w:pPr>
        <w:pStyle w:val="Heading2"/>
      </w:pPr>
      <w:r>
        <w:t xml:space="preserve">Nazi-Era Provenance (Museums)</w:t>
      </w:r>
    </w:p>
    <w:p>
      <w:pPr>
        <w:pStyle w:val="FirstParagraph"/>
      </w:pPr>
      <w:r>
        <w:t xml:space="preserve">For museum objects, especially art and cultural property, checking Nazi-era provenance (1933-1945) is essential: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NAZI-ERA PROVENANCE CHECK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[ ] Nazi-era provenance has been checked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If checked: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Result: [Clear - No issues found     v]               |   |</w:t>
      </w:r>
      <w:r>
        <w:br/>
      </w:r>
      <w:r>
        <w:rPr>
          <w:rStyle w:val="VerbatimChar"/>
        </w:rPr>
        <w:t xml:space="preserve">| |         [Requires investigation      ]                |   |</w:t>
      </w:r>
      <w:r>
        <w:br/>
      </w:r>
      <w:r>
        <w:rPr>
          <w:rStyle w:val="VerbatimChar"/>
        </w:rPr>
        <w:t xml:space="preserve">| |                                                       |   |</w:t>
      </w:r>
      <w:r>
        <w:br/>
      </w:r>
      <w:r>
        <w:rPr>
          <w:rStyle w:val="VerbatimChar"/>
        </w:rPr>
        <w:t xml:space="preserve">| | Notes:                                                |   |</w:t>
      </w:r>
      <w:r>
        <w:br/>
      </w:r>
      <w:r>
        <w:rPr>
          <w:rStyle w:val="VerbatimChar"/>
        </w:rPr>
        <w:t xml:space="preserve">| | +---------------------------------------------------+ |   |</w:t>
      </w:r>
      <w:r>
        <w:br/>
      </w:r>
      <w:r>
        <w:rPr>
          <w:rStyle w:val="VerbatimChar"/>
        </w:rPr>
        <w:t xml:space="preserve">| | | Provenance traced through 1933-1945 period.       | |   |</w:t>
      </w:r>
      <w:r>
        <w:br/>
      </w:r>
      <w:r>
        <w:rPr>
          <w:rStyle w:val="VerbatimChar"/>
        </w:rPr>
        <w:t xml:space="preserve">| | | No gaps or suspicious transfers identified.       | |   |</w:t>
      </w:r>
      <w:r>
        <w:br/>
      </w:r>
      <w:r>
        <w:rPr>
          <w:rStyle w:val="VerbatimChar"/>
        </w:rPr>
        <w:t xml:space="preserve">| | +---------------------------------------------------+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Objects acquired between 1933-1945 or with gaps during this period should be thoroughly researched for potential Nazi-era looting.</w:t>
      </w:r>
    </w:p>
    <w:p>
      <w:r>
        <w:pict>
          <v:rect style="width:0;height:1.5pt" o:hralign="center" o:hrstd="t" o:hr="t"/>
        </w:pict>
      </w:r>
    </w:p>
    <w:bookmarkEnd w:id="43"/>
    <w:bookmarkStart w:id="44" w:name="cultural-property-status"/>
    <w:p>
      <w:pPr>
        <w:pStyle w:val="Heading2"/>
      </w:pPr>
      <w:r>
        <w:t xml:space="preserve">Cultural Property Status</w:t>
      </w:r>
    </w:p>
    <w:p>
      <w:pPr>
        <w:pStyle w:val="FirstParagraph"/>
      </w:pPr>
      <w:r>
        <w:t xml:space="preserve">Track claims and disputes related to cultural property: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cultural property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ownership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dispute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Repatriated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to community/country of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Investigated and cleared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supporting-documents"/>
    <w:p>
      <w:pPr>
        <w:pStyle w:val="Heading2"/>
      </w:pPr>
      <w:r>
        <w:t xml:space="preserve">Supporting Documents</w:t>
      </w:r>
    </w:p>
    <w:p>
      <w:pPr>
        <w:pStyle w:val="FirstParagraph"/>
      </w:pPr>
      <w:r>
        <w:t xml:space="preserve">Upload or link documents that support provenance claims: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SUPPORTING DOCUMENTS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Existing Documents: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[PDF] Deed of Gift 1985.pdf     [Deed of Gift]  [Del] |   |</w:t>
      </w:r>
      <w:r>
        <w:br/>
      </w:r>
      <w:r>
        <w:rPr>
          <w:rStyle w:val="VerbatimChar"/>
        </w:rPr>
        <w:t xml:space="preserve">| | [IMG] Photo with Smith 1980.jpg [Photograph]    [Del]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Add New Document: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| Type: [Bill of Sale    v] Title: [1985 Transfer   ]   |   |</w:t>
      </w:r>
      <w:r>
        <w:br/>
      </w:r>
      <w:r>
        <w:rPr>
          <w:rStyle w:val="VerbatimChar"/>
        </w:rPr>
        <w:t xml:space="preserve">| | Date: [1985-06-15      ]                              |   |</w:t>
      </w:r>
      <w:r>
        <w:br/>
      </w:r>
      <w:r>
        <w:rPr>
          <w:rStyle w:val="VerbatimChar"/>
        </w:rPr>
        <w:t xml:space="preserve">| | File: [Choose file...  ]  OR  URL: [https://...   ]   |   |</w:t>
      </w:r>
      <w:r>
        <w:br/>
      </w:r>
      <w:r>
        <w:rPr>
          <w:rStyle w:val="VerbatimChar"/>
        </w:rPr>
        <w:t xml:space="preserve">| | Description: [Original transfer documentation    ]    |   |</w:t>
      </w:r>
      <w:r>
        <w:br/>
      </w:r>
      <w:r>
        <w:rPr>
          <w:rStyle w:val="VerbatimChar"/>
        </w:rPr>
        <w:t xml:space="preserve">| +-------------------------------------------------------+   |</w:t>
      </w:r>
      <w:r>
        <w:br/>
      </w:r>
      <w:r>
        <w:rPr>
          <w:rStyle w:val="VerbatimChar"/>
        </w:rPr>
        <w:t xml:space="preserve">|                           [+ Add Document]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Start w:id="45" w:name="document-types"/>
    <w:p>
      <w:pPr>
        <w:pStyle w:val="Heading3"/>
      </w:pPr>
      <w:r>
        <w:t xml:space="preserve">Document Types</w:t>
      </w:r>
    </w:p>
    <w:p>
      <w:pPr>
        <w:numPr>
          <w:ilvl w:val="0"/>
          <w:numId w:val="1003"/>
        </w:numPr>
        <w:pStyle w:val="Compact"/>
      </w:pPr>
      <w:r>
        <w:t xml:space="preserve">Deed of Gift</w:t>
      </w:r>
    </w:p>
    <w:p>
      <w:pPr>
        <w:numPr>
          <w:ilvl w:val="0"/>
          <w:numId w:val="1003"/>
        </w:numPr>
        <w:pStyle w:val="Compact"/>
      </w:pPr>
      <w:r>
        <w:t xml:space="preserve">Bill of Sale</w:t>
      </w:r>
    </w:p>
    <w:p>
      <w:pPr>
        <w:numPr>
          <w:ilvl w:val="0"/>
          <w:numId w:val="1003"/>
        </w:numPr>
        <w:pStyle w:val="Compact"/>
      </w:pPr>
      <w:r>
        <w:t xml:space="preserve">Invoice / Receipt</w:t>
      </w:r>
    </w:p>
    <w:p>
      <w:pPr>
        <w:numPr>
          <w:ilvl w:val="0"/>
          <w:numId w:val="1003"/>
        </w:numPr>
        <w:pStyle w:val="Compact"/>
      </w:pPr>
      <w:r>
        <w:t xml:space="preserve">Auction Catalog</w:t>
      </w:r>
    </w:p>
    <w:p>
      <w:pPr>
        <w:numPr>
          <w:ilvl w:val="0"/>
          <w:numId w:val="1003"/>
        </w:numPr>
        <w:pStyle w:val="Compact"/>
      </w:pPr>
      <w:r>
        <w:t xml:space="preserve">Exhibition Catalog</w:t>
      </w:r>
    </w:p>
    <w:p>
      <w:pPr>
        <w:numPr>
          <w:ilvl w:val="0"/>
          <w:numId w:val="1003"/>
        </w:numPr>
        <w:pStyle w:val="Compact"/>
      </w:pPr>
      <w:r>
        <w:t xml:space="preserve">Inventory Record</w:t>
      </w:r>
    </w:p>
    <w:p>
      <w:pPr>
        <w:numPr>
          <w:ilvl w:val="0"/>
          <w:numId w:val="1003"/>
        </w:numPr>
        <w:pStyle w:val="Compact"/>
      </w:pPr>
      <w:r>
        <w:t xml:space="preserve">Insurance Record</w:t>
      </w:r>
    </w:p>
    <w:p>
      <w:pPr>
        <w:numPr>
          <w:ilvl w:val="0"/>
          <w:numId w:val="1003"/>
        </w:numPr>
        <w:pStyle w:val="Compact"/>
      </w:pPr>
      <w:r>
        <w:t xml:space="preserve">Photograph</w:t>
      </w:r>
    </w:p>
    <w:p>
      <w:pPr>
        <w:numPr>
          <w:ilvl w:val="0"/>
          <w:numId w:val="1003"/>
        </w:numPr>
        <w:pStyle w:val="Compact"/>
      </w:pPr>
      <w:r>
        <w:t xml:space="preserve">Correspondence</w:t>
      </w:r>
    </w:p>
    <w:p>
      <w:pPr>
        <w:numPr>
          <w:ilvl w:val="0"/>
          <w:numId w:val="1003"/>
        </w:numPr>
        <w:pStyle w:val="Compact"/>
      </w:pPr>
      <w:r>
        <w:t xml:space="preserve">Certificate</w:t>
      </w:r>
    </w:p>
    <w:p>
      <w:pPr>
        <w:numPr>
          <w:ilvl w:val="0"/>
          <w:numId w:val="1003"/>
        </w:numPr>
        <w:pStyle w:val="Compact"/>
      </w:pPr>
      <w:r>
        <w:t xml:space="preserve">Customs Document</w:t>
      </w:r>
    </w:p>
    <w:p>
      <w:pPr>
        <w:numPr>
          <w:ilvl w:val="0"/>
          <w:numId w:val="1003"/>
        </w:numPr>
        <w:pStyle w:val="Compact"/>
      </w:pPr>
      <w:r>
        <w:t xml:space="preserve">Export License / Import Permit</w:t>
      </w:r>
    </w:p>
    <w:p>
      <w:pPr>
        <w:numPr>
          <w:ilvl w:val="0"/>
          <w:numId w:val="1003"/>
        </w:numPr>
        <w:pStyle w:val="Compact"/>
      </w:pPr>
      <w:r>
        <w:t xml:space="preserve">Appraisal</w:t>
      </w:r>
    </w:p>
    <w:p>
      <w:pPr>
        <w:numPr>
          <w:ilvl w:val="0"/>
          <w:numId w:val="1003"/>
        </w:numPr>
        <w:pStyle w:val="Compact"/>
      </w:pPr>
      <w:r>
        <w:t xml:space="preserve">Condition Report</w:t>
      </w:r>
    </w:p>
    <w:p>
      <w:pPr>
        <w:numPr>
          <w:ilvl w:val="0"/>
          <w:numId w:val="1003"/>
        </w:numPr>
        <w:pStyle w:val="Compact"/>
      </w:pPr>
      <w:r>
        <w:t xml:space="preserve">Newspaper Clipping</w:t>
      </w:r>
    </w:p>
    <w:p>
      <w:pPr>
        <w:numPr>
          <w:ilvl w:val="0"/>
          <w:numId w:val="1003"/>
        </w:numPr>
        <w:pStyle w:val="Compact"/>
      </w:pPr>
      <w:r>
        <w:t xml:space="preserve">Publication</w:t>
      </w:r>
    </w:p>
    <w:p>
      <w:pPr>
        <w:numPr>
          <w:ilvl w:val="0"/>
          <w:numId w:val="1003"/>
        </w:numPr>
        <w:pStyle w:val="Compact"/>
      </w:pPr>
      <w:r>
        <w:t xml:space="preserve">Oral History</w:t>
      </w:r>
    </w:p>
    <w:p>
      <w:pPr>
        <w:numPr>
          <w:ilvl w:val="0"/>
          <w:numId w:val="1003"/>
        </w:numPr>
        <w:pStyle w:val="Compact"/>
      </w:pPr>
      <w:r>
        <w:t xml:space="preserve">Affidavit</w:t>
      </w:r>
    </w:p>
    <w:p>
      <w:pPr>
        <w:numPr>
          <w:ilvl w:val="0"/>
          <w:numId w:val="1003"/>
        </w:numPr>
        <w:pStyle w:val="Compact"/>
      </w:pPr>
      <w:r>
        <w:t xml:space="preserve">Legal Document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isual-timeline"/>
    <w:p>
      <w:pPr>
        <w:pStyle w:val="Heading2"/>
      </w:pPr>
      <w:r>
        <w:t xml:space="preserve">Visual Timeline</w:t>
      </w:r>
    </w:p>
    <w:p>
      <w:pPr>
        <w:pStyle w:val="FirstParagraph"/>
      </w:pPr>
      <w:r>
        <w:t xml:space="preserve">The timeline view provides a visual representation of the chain of custody: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VISUAL TIMELINE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1920        1950        1985        2000        2024       |</w:t>
      </w:r>
      <w:r>
        <w:br/>
      </w:r>
      <w:r>
        <w:rPr>
          <w:rStyle w:val="VerbatimChar"/>
        </w:rPr>
        <w:t xml:space="preserve">|    |           |           |           |           |        |</w:t>
      </w:r>
      <w:r>
        <w:br/>
      </w:r>
      <w:r>
        <w:rPr>
          <w:rStyle w:val="VerbatimChar"/>
        </w:rPr>
        <w:t xml:space="preserve">|    v           v           v           v           v        |</w:t>
      </w:r>
      <w:r>
        <w:br/>
      </w:r>
      <w:r>
        <w:rPr>
          <w:rStyle w:val="VerbatimChar"/>
        </w:rPr>
        <w:t xml:space="preserve">|    o-----------o-----------o-----------------------o        |</w:t>
      </w:r>
      <w:r>
        <w:br/>
      </w:r>
      <w:r>
        <w:rPr>
          <w:rStyle w:val="VerbatimChar"/>
        </w:rPr>
        <w:t xml:space="preserve">|    |           |           |                       |        |</w:t>
      </w:r>
      <w:r>
        <w:br/>
      </w:r>
      <w:r>
        <w:rPr>
          <w:rStyle w:val="VerbatimChar"/>
        </w:rPr>
        <w:t xml:space="preserve">| Creation   Inheritance  Donation              Current       |</w:t>
      </w:r>
      <w:r>
        <w:br/>
      </w:r>
      <w:r>
        <w:rPr>
          <w:rStyle w:val="VerbatimChar"/>
        </w:rPr>
        <w:t xml:space="preserve">| J. Smith   Smith Family  to Museum           Holdings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Legend:                                                     |</w:t>
      </w:r>
      <w:r>
        <w:br/>
      </w:r>
      <w:r>
        <w:rPr>
          <w:rStyle w:val="VerbatimChar"/>
        </w:rPr>
        <w:t xml:space="preserve">| [Creation] [Sale] [Gift] [Inheritance] [Auction] [Other]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t xml:space="preserve">Access via:</w:t>
      </w:r>
      <w:r>
        <w:t xml:space="preserve"> </w:t>
      </w:r>
      <w:r>
        <w:rPr>
          <w:rStyle w:val="VerbatimChar"/>
        </w:rPr>
        <w:t xml:space="preserve">/provenance/[slug]/timeline</w:t>
      </w:r>
    </w:p>
    <w:p>
      <w:r>
        <w:pict>
          <v:rect style="width:0;height:1.5pt" o:hralign="center" o:hrstd="t" o:hr="t"/>
        </w:pict>
      </w:r>
    </w:p>
    <w:bookmarkEnd w:id="47"/>
    <w:bookmarkStart w:id="48" w:name="dashboard-statistics"/>
    <w:p>
      <w:pPr>
        <w:pStyle w:val="Heading2"/>
      </w:pPr>
      <w:r>
        <w:t xml:space="preserve">Dashboard Statistics</w:t>
      </w:r>
    </w:p>
    <w:p>
      <w:pPr>
        <w:pStyle w:val="FirstParagraph"/>
      </w:pPr>
      <w:r>
        <w:t xml:space="preserve">The provenance dashboard shows collection-wide statistics: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PROVENANCE MANAGEMENT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+-------------+  +-------------+  +-------------+  +-------+ |</w:t>
      </w:r>
      <w:r>
        <w:br/>
      </w:r>
      <w:r>
        <w:rPr>
          <w:rStyle w:val="VerbatimChar"/>
        </w:rPr>
        <w:t xml:space="preserve">| |   Total     |  |  Complete   |  | With Gaps   |  | Nazi  | |</w:t>
      </w:r>
      <w:r>
        <w:br/>
      </w:r>
      <w:r>
        <w:rPr>
          <w:rStyle w:val="VerbatimChar"/>
        </w:rPr>
        <w:t xml:space="preserve">| |    150      |  |     98      |  |     23      |  |  Era  | |</w:t>
      </w:r>
      <w:r>
        <w:br/>
      </w:r>
      <w:r>
        <w:rPr>
          <w:rStyle w:val="VerbatimChar"/>
        </w:rPr>
        <w:t xml:space="preserve">| |  Records    |  |             |  |             |  |  125  | |</w:t>
      </w:r>
      <w:r>
        <w:br/>
      </w:r>
      <w:r>
        <w:rPr>
          <w:rStyle w:val="VerbatimChar"/>
        </w:rPr>
        <w:t xml:space="preserve">| +-------------+  +-------------+  +-------------+  +-------+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BY ACQUISITION TYPE              BY CERTAINTY LEVEL         |</w:t>
      </w:r>
      <w:r>
        <w:br/>
      </w:r>
      <w:r>
        <w:rPr>
          <w:rStyle w:val="VerbatimChar"/>
        </w:rPr>
        <w:t xml:space="preserve">| +------------------------+       +------------------------+ |</w:t>
      </w:r>
      <w:r>
        <w:br/>
      </w:r>
      <w:r>
        <w:rPr>
          <w:rStyle w:val="VerbatimChar"/>
        </w:rPr>
        <w:t xml:space="preserve">| | Donation     | 45 |====|       | Certain   | 65 |=======| |</w:t>
      </w:r>
      <w:r>
        <w:br/>
      </w:r>
      <w:r>
        <w:rPr>
          <w:rStyle w:val="VerbatimChar"/>
        </w:rPr>
        <w:t xml:space="preserve">| | Purchase     | 38 |=== |       | Probable  | 42 |====   | |</w:t>
      </w:r>
      <w:r>
        <w:br/>
      </w:r>
      <w:r>
        <w:rPr>
          <w:rStyle w:val="VerbatimChar"/>
        </w:rPr>
        <w:t xml:space="preserve">| | Bequest      | 22 |==  |       | Possible  | 23 |==     | |</w:t>
      </w:r>
      <w:r>
        <w:br/>
      </w:r>
      <w:r>
        <w:rPr>
          <w:rStyle w:val="VerbatimChar"/>
        </w:rPr>
        <w:t xml:space="preserve">| | Transfer     | 18 |=   |       | Uncertain | 15 |=      | |</w:t>
      </w:r>
      <w:r>
        <w:br/>
      </w:r>
      <w:r>
        <w:rPr>
          <w:rStyle w:val="VerbatimChar"/>
        </w:rPr>
        <w:t xml:space="preserve">| | Unknown      | 27 |==  |       | Unknown   |  5 |       | |</w:t>
      </w:r>
      <w:r>
        <w:br/>
      </w:r>
      <w:r>
        <w:rPr>
          <w:rStyle w:val="VerbatimChar"/>
        </w:rPr>
        <w:t xml:space="preserve">| +------------------------+       +------------------------+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8"/>
    <w:bookmarkStart w:id="51" w:name="agents-ownersholders"/>
    <w:p>
      <w:pPr>
        <w:pStyle w:val="Heading2"/>
      </w:pPr>
      <w:r>
        <w:t xml:space="preserve">Agents (Owners/Holders)</w:t>
      </w:r>
    </w:p>
    <w:p>
      <w:pPr>
        <w:pStyle w:val="FirstParagraph"/>
      </w:pPr>
      <w:r>
        <w:t xml:space="preserve">Agents represent persons, organizations, or families in the chain of custody:</w:t>
      </w:r>
    </w:p>
    <w:bookmarkStart w:id="49" w:name="agent-types"/>
    <w:p>
      <w:pPr>
        <w:pStyle w:val="Heading3"/>
      </w:pPr>
      <w:r>
        <w:t xml:space="preserve">Agent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</w:t>
      </w:r>
      <w:r>
        <w:t xml:space="preserve"> </w:t>
      </w:r>
      <w:r>
        <w:t xml:space="preserve">- Individual owner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Organization</w:t>
      </w:r>
      <w:r>
        <w:t xml:space="preserve"> </w:t>
      </w:r>
      <w:r>
        <w:t xml:space="preserve">- Company, museum, gallery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Family</w:t>
      </w:r>
      <w:r>
        <w:t xml:space="preserve"> </w:t>
      </w:r>
      <w:r>
        <w:t xml:space="preserve">- Family group or estate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Unknown</w:t>
      </w:r>
      <w:r>
        <w:t xml:space="preserve"> </w:t>
      </w:r>
      <w:r>
        <w:t xml:space="preserve">- Unidentified party</w:t>
      </w:r>
    </w:p>
    <w:bookmarkEnd w:id="49"/>
    <w:bookmarkStart w:id="50" w:name="agent-autocomplete"/>
    <w:p>
      <w:pPr>
        <w:pStyle w:val="Heading3"/>
      </w:pPr>
      <w:r>
        <w:t xml:space="preserve">Agent Autocomplete</w:t>
      </w:r>
    </w:p>
    <w:p>
      <w:pPr>
        <w:pStyle w:val="FirstParagraph"/>
      </w:pPr>
      <w:r>
        <w:t xml:space="preserve">When entering agent names, the system suggests existing agents:</w:t>
      </w:r>
    </w:p>
    <w:p>
      <w:pPr>
        <w:pStyle w:val="SourceCode"/>
      </w:pPr>
      <w:r>
        <w:rPr>
          <w:rStyle w:val="VerbatimChar"/>
        </w:rPr>
        <w:t xml:space="preserve">From Agent: [Smith_____________]</w:t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Smith, John      |</w:t>
      </w:r>
      <w:r>
        <w:br/>
      </w:r>
      <w:r>
        <w:rPr>
          <w:rStyle w:val="VerbatimChar"/>
        </w:rPr>
        <w:t xml:space="preserve">            | Smith Family     |</w:t>
      </w:r>
      <w:r>
        <w:br/>
      </w:r>
      <w:r>
        <w:rPr>
          <w:rStyle w:val="VerbatimChar"/>
        </w:rPr>
        <w:t xml:space="preserve">            | Smithsonian      |</w:t>
      </w:r>
      <w:r>
        <w:br/>
      </w:r>
      <w:r>
        <w:rPr>
          <w:rStyle w:val="VerbatimChar"/>
        </w:rPr>
        <w:t xml:space="preserve">            +------------------+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         DO                   |          DON'T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Record all known events        | Leave gaps undocumented        |</w:t>
      </w:r>
      <w:r>
        <w:br/>
      </w:r>
      <w:r>
        <w:rPr>
          <w:rStyle w:val="VerbatimChar"/>
        </w:rPr>
        <w:t xml:space="preserve">| Assign certainty levels        | Assume all events are certain  |</w:t>
      </w:r>
      <w:r>
        <w:br/>
      </w:r>
      <w:r>
        <w:rPr>
          <w:rStyle w:val="VerbatimChar"/>
        </w:rPr>
        <w:t xml:space="preserve">| Upload supporting documents    | Rely on memory alone           |</w:t>
      </w:r>
      <w:r>
        <w:br/>
      </w:r>
      <w:r>
        <w:rPr>
          <w:rStyle w:val="VerbatimChar"/>
        </w:rPr>
        <w:t xml:space="preserve">| Check Nazi-era provenance      | Ignore 1933-1945 period        |</w:t>
      </w:r>
      <w:r>
        <w:br/>
      </w:r>
      <w:r>
        <w:rPr>
          <w:rStyle w:val="VerbatimChar"/>
        </w:rPr>
        <w:t xml:space="preserve">| Note gaps in the chain         | Hide uncertain provenance      |</w:t>
      </w:r>
      <w:r>
        <w:br/>
      </w:r>
      <w:r>
        <w:rPr>
          <w:rStyle w:val="VerbatimChar"/>
        </w:rPr>
        <w:t xml:space="preserve">| Use specific dates when known  | Use vague dates unnecessarily  |</w:t>
      </w:r>
      <w:r>
        <w:br/>
      </w:r>
      <w:r>
        <w:rPr>
          <w:rStyle w:val="VerbatimChar"/>
        </w:rPr>
        <w:t xml:space="preserve">| Link to existing agents        | Create duplicate agent entries |</w:t>
      </w:r>
      <w:r>
        <w:br/>
      </w:r>
      <w:r>
        <w:rPr>
          <w:rStyle w:val="VerbatimChar"/>
        </w:rPr>
        <w:t xml:space="preserve">| Add research notes             | Lose research findings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52"/>
    <w:bookmarkStart w:id="53" w:name="csv-import-format"/>
    <w:p>
      <w:pPr>
        <w:pStyle w:val="Heading2"/>
      </w:pPr>
      <w:r>
        <w:t xml:space="preserve">CSV Import Format</w:t>
      </w:r>
    </w:p>
    <w:p>
      <w:pPr>
        <w:pStyle w:val="FirstParagraph"/>
      </w:pPr>
      <w:r>
        <w:t xml:space="preserve">Bulk import provenance using CSV:</w:t>
      </w:r>
    </w:p>
    <w:p>
      <w:pPr>
        <w:pStyle w:val="SourceCode"/>
      </w:pPr>
      <w:r>
        <w:rPr>
          <w:rStyle w:val="VerbatimChar"/>
        </w:rPr>
        <w:t xml:space="preserve">identifier,legacy_id,provenance_summary,acquisition_type,acquisition_date,certainty_level,event_type,event_date,from_agent,to_agent,event_location,event_notes</w:t>
      </w:r>
      <w:r>
        <w:br/>
      </w:r>
      <w:r>
        <w:rPr>
          <w:rStyle w:val="VerbatimChar"/>
        </w:rPr>
        <w:t xml:space="preserve">ABC-001,,Donated by Smith Family in 1985,donation,1985-06-15,certain,donation,1985-06-15,Smith Family,City Museum,New York,Gift from estate</w:t>
      </w:r>
      <w:r>
        <w:br/>
      </w:r>
      <w:r>
        <w:rPr>
          <w:rStyle w:val="VerbatimChar"/>
        </w:rPr>
        <w:t xml:space="preserve">ABC-002,PRES-12345,Purchased at auction 2010,purchase,2010-03-22,certain,auction,2010-03-22,Christie's,City Museum,London,Lot 245</w:t>
      </w:r>
      <w:r>
        <w:br/>
      </w:r>
      <w:r>
        <w:rPr>
          <w:rStyle w:val="VerbatimChar"/>
        </w:rPr>
        <w:t xml:space="preserve">ABC-003,,Unknown provenance before 1950,unknown,,uncertain,,,,,Requires further research</w:t>
      </w:r>
    </w:p>
    <w:p>
      <w:r>
        <w:pict>
          <v:rect style="width:0;height:1.5pt" o:hralign="center" o:hrstd="t" o:hr="t"/>
        </w:pict>
      </w:r>
    </w:p>
    <w:bookmarkEnd w:id="53"/>
    <w:bookmarkStart w:id="54" w:name="integration-with-other-plugins"/>
    <w:p>
      <w:pPr>
        <w:pStyle w:val="Heading2"/>
      </w:pPr>
      <w:r>
        <w:t xml:space="preserve">Integration with Other Plugins</w:t>
      </w:r>
    </w:p>
    <w:p>
      <w:pPr>
        <w:pStyle w:val="FirstParagraph"/>
      </w:pPr>
      <w:r>
        <w:t xml:space="preserve">The Provenance Plugin integrates with: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provenance to donor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provenance to rights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provenance on museum object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provenance for digital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provenance for library materials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common-tasks"/>
    <w:p>
      <w:pPr>
        <w:pStyle w:val="Heading2"/>
      </w:pPr>
      <w:r>
        <w:t xml:space="preserve">Common Tasks</w:t>
      </w:r>
    </w:p>
    <w:bookmarkStart w:id="55" w:name="mark-provenance-complete"/>
    <w:p>
      <w:pPr>
        <w:pStyle w:val="Heading3"/>
      </w:pPr>
      <w:r>
        <w:t xml:space="preserve">Mark Provenance Complete</w:t>
      </w:r>
    </w:p>
    <w:p>
      <w:pPr>
        <w:numPr>
          <w:ilvl w:val="0"/>
          <w:numId w:val="1005"/>
        </w:numPr>
        <w:pStyle w:val="Compact"/>
      </w:pPr>
      <w:r>
        <w:t xml:space="preserve">Add all known events</w:t>
      </w:r>
    </w:p>
    <w:p>
      <w:pPr>
        <w:numPr>
          <w:ilvl w:val="0"/>
          <w:numId w:val="1005"/>
        </w:numPr>
        <w:pStyle w:val="Compact"/>
      </w:pPr>
      <w:r>
        <w:t xml:space="preserve">Upload supporting documents</w:t>
      </w:r>
    </w:p>
    <w:p>
      <w:pPr>
        <w:numPr>
          <w:ilvl w:val="0"/>
          <w:numId w:val="1005"/>
        </w:numPr>
        <w:pStyle w:val="Compact"/>
      </w:pPr>
      <w:r>
        <w:t xml:space="preserve">Check Nazi-era provenance (if applicable)</w:t>
      </w:r>
    </w:p>
    <w:p>
      <w:pPr>
        <w:numPr>
          <w:ilvl w:val="0"/>
          <w:numId w:val="1005"/>
        </w:numPr>
        <w:pStyle w:val="Compact"/>
      </w:pPr>
      <w:r>
        <w:t xml:space="preserve">Set certainty level</w:t>
      </w:r>
    </w:p>
    <w:p>
      <w:pPr>
        <w:numPr>
          <w:ilvl w:val="0"/>
          <w:numId w:val="1005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Provenance research is complete</w:t>
      </w:r>
      <w:r>
        <w:t xml:space="preserve">”</w:t>
      </w:r>
    </w:p>
    <w:bookmarkEnd w:id="55"/>
    <w:bookmarkStart w:id="56" w:name="record-a-gap"/>
    <w:p>
      <w:pPr>
        <w:pStyle w:val="Heading3"/>
      </w:pPr>
      <w:r>
        <w:t xml:space="preserve">Record a Gap</w:t>
      </w:r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There are gaps in the provenance chain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Describe the gap in the provided field</w:t>
      </w:r>
    </w:p>
    <w:p>
      <w:pPr>
        <w:numPr>
          <w:ilvl w:val="0"/>
          <w:numId w:val="1006"/>
        </w:numPr>
        <w:pStyle w:val="Compact"/>
      </w:pPr>
      <w:r>
        <w:t xml:space="preserve">Set certainty to</w:t>
      </w:r>
      <w:r>
        <w:t xml:space="preserve"> </w:t>
      </w:r>
      <w:r>
        <w:t xml:space="preserve">“</w:t>
      </w:r>
      <w:r>
        <w:t xml:space="preserve">Uncertain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</w:p>
    <w:bookmarkEnd w:id="56"/>
    <w:bookmarkStart w:id="57" w:name="flag-cultural-property-issue"/>
    <w:p>
      <w:pPr>
        <w:pStyle w:val="Heading3"/>
      </w:pPr>
      <w:r>
        <w:t xml:space="preserve">Flag Cultural Property Issue</w:t>
      </w:r>
    </w:p>
    <w:p>
      <w:pPr>
        <w:numPr>
          <w:ilvl w:val="0"/>
          <w:numId w:val="1007"/>
        </w:numPr>
        <w:pStyle w:val="Compact"/>
      </w:pPr>
      <w:r>
        <w:t xml:space="preserve">Set Cultural Property Status to</w:t>
      </w:r>
      <w:r>
        <w:t xml:space="preserve"> </w:t>
      </w:r>
      <w:r>
        <w:t xml:space="preserve">“</w:t>
      </w:r>
      <w:r>
        <w:t xml:space="preserve">Claimed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Disputed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Add detailed notes</w:t>
      </w:r>
    </w:p>
    <w:p>
      <w:pPr>
        <w:numPr>
          <w:ilvl w:val="0"/>
          <w:numId w:val="1007"/>
        </w:numPr>
        <w:pStyle w:val="Compact"/>
      </w:pPr>
      <w:r>
        <w:t xml:space="preserve">Upload any related documentation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events have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autocomplete, create new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not uploading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size limits,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not 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events or enter manual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Version 1.0.3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Provenance Tracking</dc:title>
  <dc:creator>The Archive and Heritage Group (Pty) Ltd</dc:creator>
  <cp:keywords/>
  <dcterms:created xsi:type="dcterms:W3CDTF">2026-06-03T17:40:11Z</dcterms:created>
  <dcterms:modified xsi:type="dcterms:W3CDTF">2026-06-03T17:40:11Z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