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Publish Gates &amp; Type-Driven Editor</w:t>
      </w:r>
    </w:p>
    <w:p>
      <w:pPr>
        <w:pStyle w:val="Author"/>
      </w:pPr>
      <w:r>
        <w:t xml:space="preserve">The Archive and Heritage Group (Pty) Ltd</w:t>
      </w:r>
    </w:p>
    <w:bookmarkStart w:id="34" w:name="X8fee38ad6e37f5037fcb2d86e20c4aaa739e61a"/>
    <w:p>
      <w:pPr>
        <w:pStyle w:val="Heading1"/>
      </w:pPr>
      <w:r>
        <w:t xml:space="preserve">AtoM Heratio — Publish Gates &amp; Type-Driven Editor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Publish Gates</w:t>
      </w:r>
      <w:r>
        <w:t xml:space="preserve"> </w:t>
      </w:r>
      <w:r>
        <w:t xml:space="preserve">system provides configurable quality control rules that must pass before archival records can be published to public view. Combined with the</w:t>
      </w:r>
      <w:r>
        <w:t xml:space="preserve"> </w:t>
      </w:r>
      <w:r>
        <w:rPr>
          <w:bCs/>
          <w:b/>
        </w:rPr>
        <w:t xml:space="preserve">Type-Driven Editor</w:t>
      </w:r>
      <w:r>
        <w:t xml:space="preserve"> </w:t>
      </w:r>
      <w:r>
        <w:t xml:space="preserve">enhancements, it ensures metadata completeness, rights compliance, and security clearance before any record becomes publicly accessible.</w:t>
      </w:r>
    </w:p>
    <w:p>
      <w:pPr>
        <w:pStyle w:val="BodyText"/>
      </w:pPr>
      <w:r>
        <w:t xml:space="preserve">This feature is part of the AtoM Heratio framework v2.8.2 by The Archive and Heritage Group (Pty) Ltd.</w:t>
      </w:r>
    </w:p>
    <w:bookmarkEnd w:id="20"/>
    <w:bookmarkStart w:id="24" w:name="key-features"/>
    <w:p>
      <w:pPr>
        <w:pStyle w:val="Heading2"/>
      </w:pPr>
      <w:r>
        <w:t xml:space="preserve">Key Features</w:t>
      </w:r>
    </w:p>
    <w:bookmarkStart w:id="21" w:name="publish-gate-engine"/>
    <w:p>
      <w:pPr>
        <w:pStyle w:val="Heading3"/>
      </w:pPr>
      <w:r>
        <w:t xml:space="preserve">Publish Gate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Configurable Rules</w:t>
      </w:r>
      <w:r>
        <w:t xml:space="preserve">: Define publish-readiness rules by type (field required, field not empty, has digital object, has rights, has access conditions, security cleared, IIIF ready, custom SQL)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Scoped Rules</w:t>
      </w:r>
      <w:r>
        <w:t xml:space="preserve">: Rules can be scoped to specific entity types, levels of description, repositories, or material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 Severity</w:t>
      </w:r>
      <w:r>
        <w:t xml:space="preserve">: Rules are either</w:t>
      </w:r>
      <w:r>
        <w:t xml:space="preserve"> </w:t>
      </w:r>
      <w:r>
        <w:rPr>
          <w:bCs/>
          <w:b/>
        </w:rPr>
        <w:t xml:space="preserve">Blockers</w:t>
      </w:r>
      <w:r>
        <w:t xml:space="preserve"> </w:t>
      </w:r>
      <w:r>
        <w:t xml:space="preserve">(prevent publishing) or</w:t>
      </w:r>
      <w:r>
        <w:t xml:space="preserve"> </w:t>
      </w:r>
      <w:r>
        <w:rPr>
          <w:bCs/>
          <w:b/>
        </w:rPr>
        <w:t xml:space="preserve">Warnings</w:t>
      </w:r>
      <w:r>
        <w:t xml:space="preserve"> </w:t>
      </w:r>
      <w:r>
        <w:t xml:space="preserve">(advisory only)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Readiness Dashboard</w:t>
      </w:r>
      <w:r>
        <w:t xml:space="preserve">: Visual pass/fail display per rule with actionable items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 Simulation</w:t>
      </w:r>
      <w:r>
        <w:t xml:space="preserve">: Preview exactly what the public will see before publishing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 Override</w:t>
      </w:r>
      <w:r>
        <w:t xml:space="preserve">: Admins can force-publish despite blockers (fully audited)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 Events</w:t>
      </w:r>
      <w:r>
        <w:t xml:space="preserve">: All gate evaluations, passes, failures, and overrides are logged in the workflow event history</w:t>
      </w:r>
    </w:p>
    <w:bookmarkEnd w:id="21"/>
    <w:bookmarkStart w:id="22" w:name="change-summary"/>
    <w:p>
      <w:pPr>
        <w:pStyle w:val="Heading3"/>
      </w:pPr>
      <w:r>
        <w:t xml:space="preserve">Change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Field-Level Diff</w:t>
      </w:r>
      <w:r>
        <w:t xml:space="preserve">: When saving edits, see a human-readable summary of exactly what changed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Before/After Comparison</w:t>
      </w:r>
      <w:r>
        <w:t xml:space="preserve">: Side-by-side old and new values per field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Integration</w:t>
      </w:r>
      <w:r>
        <w:t xml:space="preserve">: Changes are stored in the audit trail with full field-level detail</w:t>
      </w:r>
    </w:p>
    <w:bookmarkEnd w:id="22"/>
    <w:bookmarkStart w:id="23" w:name="type-driven-editor-bridge"/>
    <w:p>
      <w:pPr>
        <w:pStyle w:val="Heading3"/>
      </w:pPr>
      <w:r>
        <w:t xml:space="preserve">Type-Driven Editor Bridge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Standard-Aware Templates</w:t>
      </w:r>
      <w:r>
        <w:t xml:space="preserve">: Form templates can now match by descriptive standard (ISAD-G, DACS, DC, RAD, MODS) alongside repository, level, and collection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Inline Gate Validation</w:t>
      </w:r>
      <w:r>
        <w:t xml:space="preserve">: Editor fields linked to gate rules show real-time pass/fail indicators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 Severity Overlay</w:t>
      </w:r>
      <w:r>
        <w:t xml:space="preserve">: Fields display colored indicators (red for blockers, yellow for warnings, green for passed)</w:t>
      </w:r>
    </w:p>
    <w:bookmarkEnd w:id="23"/>
    <w:bookmarkEnd w:id="24"/>
    <w:bookmarkStart w:id="25" w:name="default-gate-rules-seeded"/>
    <w:p>
      <w:pPr>
        <w:pStyle w:val="Heading2"/>
      </w:pPr>
      <w:r>
        <w:t xml:space="preserve">Default Gate Rules (Seeded)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 not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field_not_empty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one 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statement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conditions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has_access_condition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clearance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security_cleared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</w:tbl>
    <w:bookmarkEnd w:id="25"/>
    <w:bookmarkStart w:id="30" w:name="architecture"/>
    <w:p>
      <w:pPr>
        <w:pStyle w:val="Heading2"/>
      </w:pPr>
      <w:r>
        <w:t xml:space="preserve">Architecture</w:t>
      </w:r>
    </w:p>
    <w:bookmarkStart w:id="26" w:name="database-tables"/>
    <w:p>
      <w:pPr>
        <w:pStyle w:val="Heading3"/>
      </w:pPr>
      <w:r>
        <w:t xml:space="preserve">Database Tables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ahg_publish_gate_rule</w:t>
      </w:r>
      <w:r>
        <w:t xml:space="preserve"> </w:t>
      </w:r>
      <w:r>
        <w:t xml:space="preserve">— Rule definitions with scoping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ahg_publish_gate_result</w:t>
      </w:r>
      <w:r>
        <w:t xml:space="preserve"> </w:t>
      </w:r>
      <w:r>
        <w:t xml:space="preserve">— Cached evaluation results</w:t>
      </w:r>
    </w:p>
    <w:bookmarkEnd w:id="26"/>
    <w:bookmarkStart w:id="27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PublishGateService</w:t>
      </w:r>
      <w:r>
        <w:t xml:space="preserve"> </w:t>
      </w:r>
      <w:r>
        <w:t xml:space="preserve">— Rule evaluation, publish execution, admin CRUD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ChangeSummaryService</w:t>
      </w:r>
      <w:r>
        <w:t xml:space="preserve"> </w:t>
      </w:r>
      <w:r>
        <w:t xml:space="preserve">— Field diff computation, human-readable summaries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EditorGateBridgeService</w:t>
      </w:r>
      <w:r>
        <w:t xml:space="preserve"> </w:t>
      </w:r>
      <w:r>
        <w:t xml:space="preserve">— Bridges form templates with gate rules for inline validation</w:t>
      </w:r>
    </w:p>
    <w:bookmarkEnd w:id="27"/>
    <w:bookmarkStart w:id="28" w:name="workflow-integration"/>
    <w:p>
      <w:pPr>
        <w:pStyle w:val="Heading3"/>
      </w:pPr>
      <w:r>
        <w:t xml:space="preserve">Workflow Integration</w:t>
      </w:r>
    </w:p>
    <w:p>
      <w:pPr>
        <w:pStyle w:val="FirstParagraph"/>
      </w:pPr>
      <w:r>
        <w:t xml:space="preserve">Four new workflow event types:</w:t>
      </w:r>
      <w:r>
        <w:t xml:space="preserve"> </w:t>
      </w:r>
      <w:r>
        <w:rPr>
          <w:rStyle w:val="VerbatimChar"/>
        </w:rPr>
        <w:t xml:space="preserve">gate_evaluated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gate_overridden</w:t>
      </w:r>
    </w:p>
    <w:bookmarkEnd w:id="28"/>
    <w:bookmarkStart w:id="29" w:name="api-integration"/>
    <w:p>
      <w:pPr>
        <w:pStyle w:val="Heading3"/>
      </w:pPr>
      <w:r>
        <w:t xml:space="preserve">API Integration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/api/v2/publish/readiness/:slug</w:t>
      </w:r>
      <w:r>
        <w:t xml:space="preserve"> </w:t>
      </w:r>
      <w:r>
        <w:t xml:space="preserve">— Check gate status via API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/api/v2/publish/execute/:slug</w:t>
      </w:r>
      <w:r>
        <w:t xml:space="preserve"> </w:t>
      </w:r>
      <w:r>
        <w:t xml:space="preserve">— Publish via API with gate enforcement</w:t>
      </w:r>
    </w:p>
    <w:bookmarkEnd w:id="29"/>
    <w:bookmarkEnd w:id="30"/>
    <w:bookmarkStart w:id="31" w:name="access-points"/>
    <w:p>
      <w:pPr>
        <w:pStyle w:val="Heading2"/>
      </w:pPr>
      <w:r>
        <w:t xml:space="preserve">Access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check for a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public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/workflow/admin/gates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gate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/workflow/admin/gates/:id/edit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a gate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/workflow/change-summary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endpoint for change diff</w:t>
            </w:r>
          </w:p>
        </w:tc>
      </w:tr>
    </w:tbl>
    <w:bookmarkEnd w:id="31"/>
    <w:bookmarkStart w:id="32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7"/>
        </w:numPr>
        <w:pStyle w:val="Compact"/>
      </w:pPr>
      <w:r>
        <w:t xml:space="preserve">PHP 8.1+</w:t>
      </w:r>
    </w:p>
    <w:p>
      <w:pPr>
        <w:numPr>
          <w:ilvl w:val="0"/>
          <w:numId w:val="1007"/>
        </w:numPr>
        <w:pStyle w:val="Compact"/>
      </w:pPr>
      <w:r>
        <w:t xml:space="preserve">MySQL 8.0+</w:t>
      </w:r>
    </w:p>
    <w:p>
      <w:pPr>
        <w:numPr>
          <w:ilvl w:val="0"/>
          <w:numId w:val="1007"/>
        </w:numPr>
        <w:pStyle w:val="Compact"/>
      </w:pPr>
      <w:r>
        <w:t xml:space="preserve">AtoM Heratio Framework v2.8.2+</w:t>
      </w:r>
    </w:p>
    <w:p>
      <w:pPr>
        <w:numPr>
          <w:ilvl w:val="0"/>
          <w:numId w:val="1007"/>
        </w:numPr>
        <w:pStyle w:val="Compact"/>
      </w:pPr>
      <w:r>
        <w:t xml:space="preserve">ahgWorkflowPlugin (required)</w:t>
      </w:r>
    </w:p>
    <w:p>
      <w:pPr>
        <w:numPr>
          <w:ilvl w:val="0"/>
          <w:numId w:val="1007"/>
        </w:numPr>
        <w:pStyle w:val="Compact"/>
      </w:pPr>
      <w:r>
        <w:t xml:space="preserve">ahgFormsPlugin (optional, for editor bridge)</w:t>
      </w:r>
    </w:p>
    <w:p>
      <w:pPr>
        <w:numPr>
          <w:ilvl w:val="0"/>
          <w:numId w:val="1007"/>
        </w:numPr>
        <w:pStyle w:val="Compact"/>
      </w:pPr>
      <w:r>
        <w:t xml:space="preserve">ahgIiifPlugin (optional, for IIIF readiness checks)</w:t>
      </w:r>
    </w:p>
    <w:bookmarkEnd w:id="32"/>
    <w:bookmarkStart w:id="33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08"/>
        </w:numPr>
        <w:pStyle w:val="Compact"/>
      </w:pPr>
      <w:r>
        <w:t xml:space="preserve">Supports ISAD(G), DACS, Dublin Core, RAD, and MODS descriptive standards</w:t>
      </w:r>
    </w:p>
    <w:p>
      <w:pPr>
        <w:numPr>
          <w:ilvl w:val="0"/>
          <w:numId w:val="1008"/>
        </w:numPr>
        <w:pStyle w:val="Compact"/>
      </w:pPr>
      <w:r>
        <w:t xml:space="preserve">Integrates with NARSSA security classification requirements</w:t>
      </w:r>
    </w:p>
    <w:p>
      <w:pPr>
        <w:numPr>
          <w:ilvl w:val="0"/>
          <w:numId w:val="1008"/>
        </w:numPr>
        <w:pStyle w:val="Compact"/>
      </w:pPr>
      <w:r>
        <w:t xml:space="preserve">Full audit trail for compliance (POPIA, GDPR)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https://github.com/ArchiveHeritageGroup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Publish Gates &amp; Type-Driven Editor</dc:title>
  <dc:creator>The Archive and Heritage Group (Pty) Ltd</dc:creator>
  <cp:keywords/>
  <dcterms:created xsi:type="dcterms:W3CDTF">2026-06-03T17:40:12Z</dcterms:created>
  <dcterms:modified xsi:type="dcterms:W3CDTF">2026-06-03T17:40:12Z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