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hgnmmzplugin---technical-documentation"/>
    <w:p>
      <w:pPr>
        <w:pStyle w:val="Heading1"/>
      </w:pPr>
      <w:r>
        <w:t xml:space="preserve">ahgNMMZPlugin - Technical Documentation</w:t>
      </w:r>
    </w:p>
    <w:p>
      <w:pPr>
        <w:pStyle w:val="BlockText"/>
      </w:pPr>
      <w:r>
        <w:t xml:space="preserve">Auto-generated from plugin code (2026-06-27). Zimbabwe National Museums and Monuments Act [Chapter 25:11] compliance — monument register, antiquities, export permits, archaeological sites, heritage impact assessments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Zimbabwe NMMZ 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ahgNMMZPlugin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nmmz_antiquity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nmmz_archaeological_site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nmmz_audit_log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nmmz_export_permit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nmmz_heritage_impact_assessment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nmmz_monument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nmmz_monument_category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nmmz_monument_inspection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nmmz_monuments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/admin/nmmz/monuments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nmmz_monument_create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/admin/nmmz/monument/create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monumentCreate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nmmz_monument_view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/admin/nmmz/monument/:id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monumentView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nmmz_antiquities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/admin/nmmz/antiquities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antiquities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nmmz_antiquity_create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/admin/nmmz/antiquity/create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antiquityCreate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nmmz_antiquity_view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/admin/nmmz/antiquity/:id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antiquityView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nmmz_permits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nmmz_permit_create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/admin/nmmz/permit/create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nmmz_permit_view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/admin/nmmz/permit/:id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nmmz_site_create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/admin/nmmz/site/create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nmmz_site_view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/admin/nmmz/site/:id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nmmz_hia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nmmz_hia_create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/admin/nmmz/hia/create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hiaCreate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/admin/nmmz/config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nmmz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monuments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monumentCreate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monumentView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antiquities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antiquityCreate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antiquityView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hia</w:t>
      </w:r>
      <w:r>
        <w:t xml:space="preserve">,</w:t>
      </w:r>
      <w:r>
        <w:t xml:space="preserve"> </w:t>
      </w:r>
      <w:r>
        <w:rPr>
          <w:rStyle w:val="VerbatimChar"/>
        </w:rPr>
        <w:t xml:space="preserve">hiaCreate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nmmz:report</w:t>
      </w:r>
      <w:r>
        <w:t xml:space="preserve"> </w:t>
      </w:r>
      <w:r>
        <w:t xml:space="preserve">— Generate NMMZ heritage reports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for"/>
    <w:p>
      <w:pPr>
        <w:pStyle w:val="Heading3"/>
      </w:pPr>
      <w:r>
        <w:rPr>
          <w:rStyle w:val="VerbatimChar"/>
        </w:rPr>
        <w:t xml:space="preserve">for</w:t>
      </w:r>
    </w:p>
    <w:p>
      <w:pPr>
        <w:pStyle w:val="FirstParagraph"/>
      </w:pPr>
      <w:r>
        <w:rPr>
          <w:rStyle w:val="VerbatimChar"/>
        </w:rPr>
        <w:t xml:space="preserve">lib/Services/NMMZService.php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getMonuments()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createMonument()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getMonument()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getCategories()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getAntiquities()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createAntiquity()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getAntiquity()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getPermits()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createSite()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getHIAs()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createHIA()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2026-06-27T18:56:28Z</dcterms:created>
  <dcterms:modified xsi:type="dcterms:W3CDTF">2026-06-27T18:56:28Z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