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7" w:name="ahgocflplugin---technical-documentation"/>
    <w:p>
      <w:pPr>
        <w:pStyle w:val="Heading1"/>
      </w:pPr>
      <w:r>
        <w:t xml:space="preserve">ahgOcflPlugin - Technical Documentation</w:t>
      </w:r>
    </w:p>
    <w:p>
      <w:pPr>
        <w:pStyle w:val="BlockText"/>
      </w:pPr>
      <w:r>
        <w:t xml:space="preserve">Auto-generated from plugin code (2026-06-27). OCFL v1.1 (Oxford Common File Layout) preservation storage: storage-root management, content-addressed object versioning with deterministic inventory.json + SHA-512 digests, per-version directories, fixity verification and tar export.</w:t>
      </w:r>
    </w:p>
    <w:bookmarkStart w:id="20" w:name="overview"/>
    <w:p>
      <w:pPr>
        <w:pStyle w:val="Heading2"/>
      </w:pPr>
      <w:r>
        <w:t xml:space="preserve">Overview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Name:</w:t>
      </w:r>
      <w:r>
        <w:t xml:space="preserve"> </w:t>
      </w:r>
      <w:r>
        <w:t xml:space="preserve">OCFL Preservation Storage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Machine name:</w:t>
      </w:r>
      <w:r>
        <w:t xml:space="preserve"> </w:t>
      </w:r>
      <w:r>
        <w:rPr>
          <w:rStyle w:val="VerbatimChar"/>
        </w:rPr>
        <w:t xml:space="preserve">ahgOcflPlugin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Version:</w:t>
      </w:r>
      <w:r>
        <w:t xml:space="preserve"> </w:t>
      </w:r>
      <w:r>
        <w:t xml:space="preserve">1.0.0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Category:</w:t>
      </w:r>
      <w:r>
        <w:t xml:space="preserve"> </w:t>
      </w:r>
      <w:r>
        <w:t xml:space="preserve">preservation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Dependencies:</w:t>
      </w:r>
      <w:r>
        <w:t xml:space="preserve"> </w:t>
      </w:r>
      <w:r>
        <w:rPr>
          <w:rStyle w:val="VerbatimChar"/>
        </w:rPr>
        <w:t xml:space="preserve">ahgCorePlugin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License:</w:t>
      </w:r>
      <w:r>
        <w:t xml:space="preserve"> </w:t>
      </w:r>
      <w:r>
        <w:t xml:space="preserve">AGPL-3.0</w:t>
      </w:r>
    </w:p>
    <w:bookmarkEnd w:id="20"/>
    <w:bookmarkStart w:id="21" w:name="database-tables"/>
    <w:p>
      <w:pPr>
        <w:pStyle w:val="Heading2"/>
      </w:pPr>
      <w:r>
        <w:t xml:space="preserve">Database tables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ahg_ocfl_object_map</w:t>
      </w:r>
    </w:p>
    <w:p>
      <w:pPr>
        <w:pStyle w:val="FirstParagraph"/>
      </w:pPr>
      <w:r>
        <w:t xml:space="preserve">See</w:t>
      </w:r>
      <w:r>
        <w:t xml:space="preserve"> </w:t>
      </w:r>
      <w:r>
        <w:rPr>
          <w:rStyle w:val="VerbatimChar"/>
        </w:rPr>
        <w:t xml:space="preserve">database/install.sql</w:t>
      </w:r>
      <w:r>
        <w:t xml:space="preserve"> </w:t>
      </w:r>
      <w:r>
        <w:t xml:space="preserve">for the schema (sidecar tables only; no Qubit base-table changes).</w:t>
      </w:r>
    </w:p>
    <w:bookmarkEnd w:id="21"/>
    <w:bookmarkStart w:id="22" w:name="routes"/>
    <w:p>
      <w:pPr>
        <w:pStyle w:val="Heading2"/>
      </w:pPr>
      <w:r>
        <w:t xml:space="preserve">Routes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Route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ocfl_index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/admin/ocfl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ocfl_api_init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/api/ocfl/init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apiInit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ocfl_api_verify_all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/api/ocfl/verify-all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apiVerifyAll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ocfl_api_ingest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/api/ocfl/ingest/:id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apiIngest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ocfl_api_verify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/api/ocfl/verify/:id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apiVerify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ocfl_api_export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/api/ocfl/export/:id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apiExport</w:t>
            </w:r>
          </w:p>
        </w:tc>
      </w:tr>
    </w:tbl>
    <w:bookmarkEnd w:id="22"/>
    <w:bookmarkStart w:id="23" w:name="module-actions"/>
    <w:p>
      <w:pPr>
        <w:pStyle w:val="Heading2"/>
      </w:pPr>
      <w:r>
        <w:t xml:space="preserve">Module actions</w:t>
      </w:r>
    </w:p>
    <w:p>
      <w:pPr>
        <w:pStyle w:val="FirstParagraph"/>
      </w:pPr>
      <w:r>
        <w:rPr>
          <w:rStyle w:val="VerbatimChar"/>
          <w:bCs/>
          <w:b/>
        </w:rPr>
        <w:t xml:space="preserve">ocfl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index</w:t>
      </w:r>
      <w:r>
        <w:t xml:space="preserve">,</w:t>
      </w:r>
      <w:r>
        <w:t xml:space="preserve"> </w:t>
      </w:r>
      <w:r>
        <w:rPr>
          <w:rStyle w:val="VerbatimChar"/>
        </w:rPr>
        <w:t xml:space="preserve">apiInit</w:t>
      </w:r>
      <w:r>
        <w:t xml:space="preserve">,</w:t>
      </w:r>
      <w:r>
        <w:t xml:space="preserve"> </w:t>
      </w:r>
      <w:r>
        <w:rPr>
          <w:rStyle w:val="VerbatimChar"/>
        </w:rPr>
        <w:t xml:space="preserve">apiIngest</w:t>
      </w:r>
      <w:r>
        <w:t xml:space="preserve">,</w:t>
      </w:r>
      <w:r>
        <w:t xml:space="preserve"> </w:t>
      </w:r>
      <w:r>
        <w:rPr>
          <w:rStyle w:val="VerbatimChar"/>
        </w:rPr>
        <w:t xml:space="preserve">apiVerify</w:t>
      </w:r>
      <w:r>
        <w:t xml:space="preserve">,</w:t>
      </w:r>
      <w:r>
        <w:t xml:space="preserve"> </w:t>
      </w:r>
      <w:r>
        <w:rPr>
          <w:rStyle w:val="VerbatimChar"/>
        </w:rPr>
        <w:t xml:space="preserve">apiVerifyAll</w:t>
      </w:r>
      <w:r>
        <w:t xml:space="preserve">,</w:t>
      </w:r>
      <w:r>
        <w:t xml:space="preserve"> </w:t>
      </w:r>
      <w:r>
        <w:rPr>
          <w:rStyle w:val="VerbatimChar"/>
        </w:rPr>
        <w:t xml:space="preserve">apiExport</w:t>
      </w:r>
    </w:p>
    <w:bookmarkEnd w:id="23"/>
    <w:bookmarkStart w:id="25" w:name="service-layer"/>
    <w:p>
      <w:pPr>
        <w:pStyle w:val="Heading2"/>
      </w:pPr>
      <w:r>
        <w:t xml:space="preserve">Service layer</w:t>
      </w:r>
    </w:p>
    <w:bookmarkStart w:id="24" w:name="ocflservice"/>
    <w:p>
      <w:pPr>
        <w:pStyle w:val="Heading3"/>
      </w:pPr>
      <w:r>
        <w:rPr>
          <w:rStyle w:val="VerbatimChar"/>
        </w:rPr>
        <w:t xml:space="preserve">OcflService</w:t>
      </w:r>
    </w:p>
    <w:p>
      <w:pPr>
        <w:pStyle w:val="FirstParagraph"/>
      </w:pPr>
      <w:r>
        <w:rPr>
          <w:rStyle w:val="VerbatimChar"/>
        </w:rPr>
        <w:t xml:space="preserve">lib/Services/OcflService.php</w:t>
      </w:r>
    </w:p>
    <w:p>
      <w:pPr>
        <w:pStyle w:val="BodyText"/>
      </w:pPr>
      <w:r>
        <w:t xml:space="preserve">Public methods:</w:t>
      </w:r>
      <w:r>
        <w:t xml:space="preserve"> </w:t>
      </w:r>
      <w:r>
        <w:rPr>
          <w:rStyle w:val="VerbatimChar"/>
        </w:rPr>
        <w:t xml:space="preserve">rootDir()</w:t>
      </w:r>
      <w:r>
        <w:t xml:space="preserve">,</w:t>
      </w:r>
      <w:r>
        <w:t xml:space="preserve"> </w:t>
      </w:r>
      <w:r>
        <w:rPr>
          <w:rStyle w:val="VerbatimChar"/>
        </w:rPr>
        <w:t xml:space="preserve">setting()</w:t>
      </w:r>
      <w:r>
        <w:t xml:space="preserve">,</w:t>
      </w:r>
      <w:r>
        <w:t xml:space="preserve"> </w:t>
      </w:r>
      <w:r>
        <w:rPr>
          <w:rStyle w:val="VerbatimChar"/>
        </w:rPr>
        <w:t xml:space="preserve">storageRootPath()</w:t>
      </w:r>
      <w:r>
        <w:t xml:space="preserve">,</w:t>
      </w:r>
      <w:r>
        <w:t xml:space="preserve"> </w:t>
      </w:r>
      <w:r>
        <w:rPr>
          <w:rStyle w:val="VerbatimChar"/>
        </w:rPr>
        <w:t xml:space="preserve">layout()</w:t>
      </w:r>
      <w:r>
        <w:t xml:space="preserve">,</w:t>
      </w:r>
      <w:r>
        <w:t xml:space="preserve"> </w:t>
      </w:r>
      <w:r>
        <w:rPr>
          <w:rStyle w:val="VerbatimChar"/>
        </w:rPr>
        <w:t xml:space="preserve">digestAlgorithm()</w:t>
      </w:r>
      <w:r>
        <w:t xml:space="preserve">,</w:t>
      </w:r>
      <w:r>
        <w:t xml:space="preserve"> </w:t>
      </w:r>
      <w:r>
        <w:rPr>
          <w:rStyle w:val="VerbatimChar"/>
        </w:rPr>
        <w:t xml:space="preserve">exportPath()</w:t>
      </w:r>
      <w:r>
        <w:t xml:space="preserve">,</w:t>
      </w:r>
      <w:r>
        <w:t xml:space="preserve"> </w:t>
      </w:r>
      <w:r>
        <w:rPr>
          <w:rStyle w:val="VerbatimChar"/>
        </w:rPr>
        <w:t xml:space="preserve">storageRoot()</w:t>
      </w:r>
      <w:r>
        <w:t xml:space="preserve">,</w:t>
      </w:r>
      <w:r>
        <w:t xml:space="preserve"> </w:t>
      </w:r>
      <w:r>
        <w:rPr>
          <w:rStyle w:val="VerbatimChar"/>
        </w:rPr>
        <w:t xml:space="preserve">objectIdForIo()</w:t>
      </w:r>
      <w:r>
        <w:t xml:space="preserve">,</w:t>
      </w:r>
      <w:r>
        <w:t xml:space="preserve"> </w:t>
      </w:r>
      <w:r>
        <w:rPr>
          <w:rStyle w:val="VerbatimChar"/>
        </w:rPr>
        <w:t xml:space="preserve">loadDigitalObjects()</w:t>
      </w:r>
      <w:r>
        <w:t xml:space="preserve">,</w:t>
      </w:r>
      <w:r>
        <w:t xml:space="preserve"> </w:t>
      </w:r>
      <w:r>
        <w:rPr>
          <w:rStyle w:val="VerbatimChar"/>
        </w:rPr>
        <w:t xml:space="preserve">resolveFilePath()</w:t>
      </w:r>
      <w:r>
        <w:t xml:space="preserve">,</w:t>
      </w:r>
      <w:r>
        <w:t xml:space="preserve"> </w:t>
      </w:r>
      <w:r>
        <w:rPr>
          <w:rStyle w:val="VerbatimChar"/>
        </w:rPr>
        <w:t xml:space="preserve">ingestInformationObject()</w:t>
      </w:r>
      <w:r>
        <w:t xml:space="preserve">,</w:t>
      </w:r>
      <w:r>
        <w:t xml:space="preserve"> </w:t>
      </w:r>
      <w:r>
        <w:rPr>
          <w:rStyle w:val="VerbatimChar"/>
        </w:rPr>
        <w:t xml:space="preserve">upsertObjectMap()</w:t>
      </w:r>
      <w:r>
        <w:t xml:space="preserve">,</w:t>
      </w:r>
      <w:r>
        <w:t xml:space="preserve"> </w:t>
      </w:r>
      <w:r>
        <w:rPr>
          <w:rStyle w:val="VerbatimChar"/>
        </w:rPr>
        <w:t xml:space="preserve">resolveObjectId()</w:t>
      </w:r>
      <w:r>
        <w:t xml:space="preserve">,</w:t>
      </w:r>
      <w:r>
        <w:t xml:space="preserve"> </w:t>
      </w:r>
      <w:r>
        <w:rPr>
          <w:rStyle w:val="VerbatimChar"/>
        </w:rPr>
        <w:t xml:space="preserve">exportObject()</w:t>
      </w:r>
    </w:p>
    <w:bookmarkEnd w:id="24"/>
    <w:bookmarkEnd w:id="25"/>
    <w:bookmarkStart w:id="26" w:name="standards-conventions"/>
    <w:p>
      <w:pPr>
        <w:pStyle w:val="Heading2"/>
      </w:pPr>
      <w:r>
        <w:t xml:space="preserve">Standards &amp; conventions</w:t>
      </w:r>
    </w:p>
    <w:p>
      <w:pPr>
        <w:numPr>
          <w:ilvl w:val="0"/>
          <w:numId w:val="1003"/>
        </w:numPr>
        <w:pStyle w:val="Compact"/>
      </w:pPr>
      <w:r>
        <w:t xml:space="preserve">Laravel Query Builder (Illuminate Capsule) for data access; base AtoM (Qubit) tables are read-only.</w:t>
      </w:r>
    </w:p>
    <w:p>
      <w:pPr>
        <w:numPr>
          <w:ilvl w:val="0"/>
          <w:numId w:val="1003"/>
        </w:numPr>
        <w:pStyle w:val="Compact"/>
      </w:pPr>
      <w:r>
        <w:t xml:space="preserve">Routes registered via</w:t>
      </w:r>
      <w:r>
        <w:t xml:space="preserve"> </w:t>
      </w:r>
      <w:r>
        <w:rPr>
          <w:rStyle w:val="VerbatimChar"/>
        </w:rPr>
        <w:t xml:space="preserve">AtomFramework\Routing\RouteLoader</w:t>
      </w:r>
      <w:r>
        <w:t xml:space="preserve"> </w:t>
      </w:r>
      <w:r>
        <w:t xml:space="preserve">in the plugin config class.</w:t>
      </w:r>
    </w:p>
    <w:p>
      <w:pPr>
        <w:numPr>
          <w:ilvl w:val="0"/>
          <w:numId w:val="1003"/>
        </w:numPr>
        <w:pStyle w:val="Compact"/>
      </w:pPr>
      <w:r>
        <w:t xml:space="preserve">No MySQL ENUM (controlled values via</w:t>
      </w:r>
      <w:r>
        <w:t xml:space="preserve"> </w:t>
      </w:r>
      <w:r>
        <w:rPr>
          <w:rStyle w:val="VerbatimChar"/>
        </w:rPr>
        <w:t xml:space="preserve">ahg_dropdown</w:t>
      </w:r>
      <w:r>
        <w:t xml:space="preserve">); CSP nonce on inline scripts/styles.</w:t>
      </w:r>
    </w:p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cs="Arial" w:eastAsia="Arial" w:hAnsi="Arial"/>
        <w:sz w:val="24"/>
        <w:szCs w:val="24"/>
        <w:lang w:bidi="ar-SA" w:eastAsia="en-US" w:val="en-US"/>
      </w:rPr>
    </w:rPrDefault>
    <w:pPrDefault>
      <w:pPr>
        <w:spacing w:after="200" w:line="360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2026-06-27T18:56:28Z</dcterms:created>
  <dcterms:modified xsi:type="dcterms:W3CDTF">2026-06-27T18:56:28Z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