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ahgrdmplugin---technical-documentation"/>
    <w:p>
      <w:pPr>
        <w:pStyle w:val="Heading1"/>
      </w:pPr>
      <w:r>
        <w:t xml:space="preserve">ahgRdmPlugin - Technical Documentation</w:t>
      </w:r>
    </w:p>
    <w:p>
      <w:pPr>
        <w:pStyle w:val="BlockText"/>
      </w:pPr>
      <w:r>
        <w:t xml:space="preserve">Auto-generated from plugin code (2026-06-27). Sovereign (POPIA-resident) research-data-management module: dataset deposit, AI-assisted human-gated POPIA sensitivity scan, access/embargo + DOI, compliance dashboard. Reverse port of Heratio ahg-rdm (heratio#1337).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RDM Manager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ahgRdmPlugin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research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ahgIngestPlugin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ahgInformationObjectManagePlugin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ahgResearchPlugin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Dataset wrapper over a container information_object</w:t>
      </w:r>
    </w:p>
    <w:p>
      <w:pPr>
        <w:numPr>
          <w:ilvl w:val="0"/>
          <w:numId w:val="1002"/>
        </w:numPr>
        <w:pStyle w:val="Compact"/>
      </w:pPr>
      <w:r>
        <w:t xml:space="preserve">Per-file deposit as child IO + master digital_object (no bespoke storage)</w:t>
      </w:r>
    </w:p>
    <w:p>
      <w:pPr>
        <w:numPr>
          <w:ilvl w:val="0"/>
          <w:numId w:val="1002"/>
        </w:numPr>
        <w:pStyle w:val="Compact"/>
      </w:pPr>
      <w:r>
        <w:t xml:space="preserve">POPIA sensitivity scan (deterministic + lexicon + gateway NER) [later phases]</w:t>
      </w:r>
    </w:p>
    <w:p>
      <w:pPr>
        <w:numPr>
          <w:ilvl w:val="0"/>
          <w:numId w:val="1002"/>
        </w:numPr>
        <w:pStyle w:val="Compact"/>
      </w:pPr>
      <w:r>
        <w:t xml:space="preserve">Human-gated review of scan findings [later phases]</w:t>
      </w:r>
    </w:p>
    <w:p>
      <w:pPr>
        <w:numPr>
          <w:ilvl w:val="0"/>
          <w:numId w:val="1002"/>
        </w:numPr>
        <w:pStyle w:val="Compact"/>
      </w:pPr>
      <w:r>
        <w:t xml:space="preserve">Access/embargo (ODRL) + DataCite DOI + public landing [later phases]</w:t>
      </w:r>
    </w:p>
    <w:p>
      <w:pPr>
        <w:numPr>
          <w:ilvl w:val="0"/>
          <w:numId w:val="1002"/>
        </w:numPr>
        <w:pStyle w:val="Compact"/>
      </w:pPr>
      <w:r>
        <w:t xml:space="preserve">Compliance scoreboard + roll-up dashboard [later phases]</w:t>
      </w:r>
    </w:p>
    <w:bookmarkEnd w:id="20"/>
    <w:bookmarkEnd w:id="21"/>
    <w:bookmarkStart w:id="22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rdm_dataset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rdm_dataset_file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rdm_protected_object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rdm_scan_finding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2"/>
    <w:bookmarkStart w:id="23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rdm_datasets_deposit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/research/datasets/:id/file/:fid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rdm_datasets_finding_resolve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/research/datasets/:id/findings/:fid/resolve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rdm_datasets_disposition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rdm_datasets_dmp_link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linkDmp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rdm_datasets_dmp_unlink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/research/datasets/:id/dmp/unlink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unlinkDmp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rdm_datasets_landing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</w:tr>
    </w:tbl>
    <w:bookmarkEnd w:id="23"/>
    <w:bookmarkStart w:id="24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rdm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linkDmp</w:t>
      </w:r>
      <w:r>
        <w:t xml:space="preserve">,</w:t>
      </w:r>
      <w:r>
        <w:t xml:space="preserve"> </w:t>
      </w:r>
      <w:r>
        <w:rPr>
          <w:rStyle w:val="VerbatimChar"/>
        </w:rPr>
        <w:t xml:space="preserve">unlinkDmp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</w:t>
      </w:r>
    </w:p>
    <w:bookmarkEnd w:id="24"/>
    <w:bookmarkStart w:id="25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rdm:demo</w:t>
      </w:r>
      <w:r>
        <w:t xml:space="preserve"> </w:t>
      </w:r>
      <w:r>
        <w:t xml:space="preserve">— Run the full POPIA RDM demo on synthetic data (deposit-&gt;scan-&gt;gate-&gt;DOI-&gt;landing).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rdm:scan</w:t>
      </w:r>
      <w:r>
        <w:t xml:space="preserve"> </w:t>
      </w:r>
      <w:r>
        <w:t xml:space="preserve">— Run the POPIA sensitivity scan for an RDM dataset in the background</w:t>
      </w:r>
    </w:p>
    <w:bookmarkEnd w:id="25"/>
    <w:bookmarkStart w:id="34" w:name="service-layer"/>
    <w:p>
      <w:pPr>
        <w:pStyle w:val="Heading2"/>
      </w:pPr>
      <w:r>
        <w:t xml:space="preserve">Service layer</w:t>
      </w:r>
    </w:p>
    <w:bookmarkStart w:id="26" w:name="popiascanservice"/>
    <w:p>
      <w:pPr>
        <w:pStyle w:val="Heading3"/>
      </w:pPr>
      <w:r>
        <w:rPr>
          <w:rStyle w:val="VerbatimChar"/>
        </w:rPr>
        <w:t xml:space="preserve">PopiaScanService</w:t>
      </w:r>
    </w:p>
    <w:p>
      <w:pPr>
        <w:pStyle w:val="FirstParagraph"/>
      </w:pPr>
      <w:r>
        <w:rPr>
          <w:rStyle w:val="VerbatimChar"/>
        </w:rPr>
        <w:t xml:space="preserve">lib/Services/PopiaScanService.php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scanDataset()</w:t>
      </w:r>
    </w:p>
    <w:bookmarkEnd w:id="26"/>
    <w:bookmarkStart w:id="27" w:name="datasetfileguardservice"/>
    <w:p>
      <w:pPr>
        <w:pStyle w:val="Heading3"/>
      </w:pPr>
      <w:r>
        <w:rPr>
          <w:rStyle w:val="VerbatimChar"/>
        </w:rPr>
        <w:t xml:space="preserve">DatasetFileGuardService</w:t>
      </w:r>
    </w:p>
    <w:p>
      <w:pPr>
        <w:pStyle w:val="FirstParagraph"/>
      </w:pPr>
      <w:r>
        <w:rPr>
          <w:rStyle w:val="VerbatimChar"/>
        </w:rPr>
        <w:t xml:space="preserve">lib/Services/DatasetFileGuardService.php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protectedDir()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accelPrefix()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protectedPathForDo()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accelUri()</w:t>
      </w:r>
    </w:p>
    <w:bookmarkEnd w:id="27"/>
    <w:bookmarkStart w:id="28" w:name="dashboardservice"/>
    <w:p>
      <w:pPr>
        <w:pStyle w:val="Heading3"/>
      </w:pPr>
      <w:r>
        <w:rPr>
          <w:rStyle w:val="VerbatimChar"/>
        </w:rPr>
        <w:t xml:space="preserve">DashboardService</w:t>
      </w:r>
    </w:p>
    <w:p>
      <w:pPr>
        <w:pStyle w:val="FirstParagraph"/>
      </w:pPr>
      <w:r>
        <w:rPr>
          <w:rStyle w:val="VerbatimChar"/>
        </w:rPr>
        <w:t xml:space="preserve">lib/Services/DashboardService.php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overview()</w:t>
      </w:r>
    </w:p>
    <w:bookmarkEnd w:id="28"/>
    <w:bookmarkStart w:id="29" w:name="popiagateservice"/>
    <w:p>
      <w:pPr>
        <w:pStyle w:val="Heading3"/>
      </w:pPr>
      <w:r>
        <w:rPr>
          <w:rStyle w:val="VerbatimChar"/>
        </w:rPr>
        <w:t xml:space="preserve">PopiaGateService</w:t>
      </w:r>
    </w:p>
    <w:p>
      <w:pPr>
        <w:pStyle w:val="FirstParagraph"/>
      </w:pPr>
      <w:r>
        <w:rPr>
          <w:rStyle w:val="VerbatimChar"/>
        </w:rPr>
        <w:t xml:space="preserve">lib/Services/PopiaGateService.php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resolveFinding()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setDisposition()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gateStatus()</w:t>
      </w:r>
    </w:p>
    <w:bookmarkEnd w:id="29"/>
    <w:bookmarkStart w:id="30" w:name="dmplinkservice"/>
    <w:p>
      <w:pPr>
        <w:pStyle w:val="Heading3"/>
      </w:pPr>
      <w:r>
        <w:rPr>
          <w:rStyle w:val="VerbatimChar"/>
        </w:rPr>
        <w:t xml:space="preserve">DmpLinkService</w:t>
      </w:r>
    </w:p>
    <w:p>
      <w:pPr>
        <w:pStyle w:val="FirstParagraph"/>
      </w:pPr>
      <w:r>
        <w:rPr>
          <w:rStyle w:val="VerbatimChar"/>
        </w:rPr>
        <w:t xml:space="preserve">lib/Services/DmpLinkService.php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context()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createAndLink()</w:t>
      </w:r>
      <w:r>
        <w:t xml:space="preserve">,</w:t>
      </w:r>
      <w:r>
        <w:t xml:space="preserve"> </w:t>
      </w:r>
      <w:r>
        <w:rPr>
          <w:rStyle w:val="VerbatimChar"/>
        </w:rPr>
        <w:t xml:space="preserve">unlink()</w:t>
      </w:r>
    </w:p>
    <w:bookmarkEnd w:id="30"/>
    <w:bookmarkStart w:id="31" w:name="datasetreleaseservice"/>
    <w:p>
      <w:pPr>
        <w:pStyle w:val="Heading3"/>
      </w:pPr>
      <w:r>
        <w:rPr>
          <w:rStyle w:val="VerbatimChar"/>
        </w:rPr>
        <w:t xml:space="preserve">DatasetReleaseService</w:t>
      </w:r>
    </w:p>
    <w:p>
      <w:pPr>
        <w:pStyle w:val="FirstParagraph"/>
      </w:pPr>
      <w:r>
        <w:rPr>
          <w:rStyle w:val="VerbatimChar"/>
        </w:rPr>
        <w:t xml:space="preserve">lib/Services/DatasetReleaseService.php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apply()</w:t>
      </w:r>
    </w:p>
    <w:bookmarkEnd w:id="31"/>
    <w:bookmarkStart w:id="32" w:name="datasetservice"/>
    <w:p>
      <w:pPr>
        <w:pStyle w:val="Heading3"/>
      </w:pPr>
      <w:r>
        <w:rPr>
          <w:rStyle w:val="VerbatimChar"/>
        </w:rPr>
        <w:t xml:space="preserve">DatasetService</w:t>
      </w:r>
    </w:p>
    <w:p>
      <w:pPr>
        <w:pStyle w:val="FirstParagraph"/>
      </w:pPr>
      <w:r>
        <w:rPr>
          <w:rStyle w:val="VerbatimChar"/>
        </w:rPr>
        <w:t xml:space="preserve">lib/Services/DatasetService.php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list()</w:t>
      </w:r>
    </w:p>
    <w:bookmarkEnd w:id="32"/>
    <w:bookmarkStart w:id="33" w:name="compliancereportservice"/>
    <w:p>
      <w:pPr>
        <w:pStyle w:val="Heading3"/>
      </w:pPr>
      <w:r>
        <w:rPr>
          <w:rStyle w:val="VerbatimChar"/>
        </w:rPr>
        <w:t xml:space="preserve">ComplianceReportService</w:t>
      </w:r>
    </w:p>
    <w:p>
      <w:pPr>
        <w:pStyle w:val="FirstParagraph"/>
      </w:pPr>
      <w:r>
        <w:rPr>
          <w:rStyle w:val="VerbatimChar"/>
        </w:rPr>
        <w:t xml:space="preserve">lib/Services/ComplianceReportService.php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rows()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institutions()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summary()</w:t>
      </w:r>
    </w:p>
    <w:bookmarkEnd w:id="33"/>
    <w:bookmarkEnd w:id="34"/>
    <w:bookmarkStart w:id="35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5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5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5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2026-06-27T18:56:31Z</dcterms:created>
  <dcterms:modified xsi:type="dcterms:W3CDTF">2026-06-27T18:56:31Z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