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bd3dbf54061d5a1da1f3a3e01f93c0ca4346496"/>
    <w:p>
      <w:pPr>
        <w:pStyle w:val="Heading1"/>
      </w:pPr>
      <w:r>
        <w:t xml:space="preserve">ahgStorageManagePlugin - Technical Documentation</w:t>
      </w:r>
    </w:p>
    <w:p>
      <w:pPr>
        <w:pStyle w:val="BlockText"/>
      </w:pPr>
      <w:r>
        <w:t xml:space="preserve">Auto-generated from plugin code (2026-06-27). Physical storage browse and management using Laravel Query Builder</w:t>
      </w:r>
    </w:p>
    <w:bookmarkStart w:id="21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AHG Storage Manage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Machine name:</w:t>
      </w:r>
      <w:r>
        <w:t xml:space="preserve"> </w:t>
      </w:r>
      <w:r>
        <w:rPr>
          <w:rStyle w:val="VerbatimChar"/>
        </w:rPr>
        <w:t xml:space="preserve">ahgStorageManagePlugin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Version:</w:t>
      </w:r>
      <w:r>
        <w:t xml:space="preserve"> </w:t>
      </w:r>
      <w:r>
        <w:t xml:space="preserve">1.0.0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Category:</w:t>
      </w:r>
      <w:r>
        <w:t xml:space="preserve"> </w:t>
      </w:r>
      <w:r>
        <w:t xml:space="preserve">browse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ahgCorePlugin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License:</w:t>
      </w:r>
      <w:r>
        <w:t xml:space="preserve"> </w:t>
      </w:r>
      <w:r>
        <w:t xml:space="preserve">GPL-3.0</w:t>
      </w:r>
    </w:p>
    <w:bookmarkStart w:id="20" w:name="features"/>
    <w:p>
      <w:pPr>
        <w:pStyle w:val="Heading3"/>
      </w:pPr>
      <w:r>
        <w:t xml:space="preserve">Features</w:t>
      </w:r>
    </w:p>
    <w:p>
      <w:pPr>
        <w:numPr>
          <w:ilvl w:val="0"/>
          <w:numId w:val="1002"/>
        </w:numPr>
        <w:pStyle w:val="Compact"/>
      </w:pPr>
      <w:r>
        <w:t xml:space="preserve">Physical storage browse via Laravel Query Builder</w:t>
      </w:r>
    </w:p>
    <w:p>
      <w:pPr>
        <w:numPr>
          <w:ilvl w:val="0"/>
          <w:numId w:val="1002"/>
        </w:numPr>
        <w:pStyle w:val="Compact"/>
      </w:pPr>
      <w:r>
        <w:t xml:space="preserve">Sort by name and location with direction toggle</w:t>
      </w:r>
    </w:p>
    <w:p>
      <w:pPr>
        <w:numPr>
          <w:ilvl w:val="0"/>
          <w:numId w:val="1002"/>
        </w:numPr>
        <w:pStyle w:val="Compact"/>
      </w:pPr>
      <w:r>
        <w:t xml:space="preserve">Inline search across name, location, and type</w:t>
      </w:r>
    </w:p>
    <w:p>
      <w:pPr>
        <w:numPr>
          <w:ilvl w:val="0"/>
          <w:numId w:val="1002"/>
        </w:numPr>
        <w:pStyle w:val="Compact"/>
      </w:pPr>
      <w:r>
        <w:t xml:space="preserve">Export storage report link</w:t>
      </w:r>
    </w:p>
    <w:p>
      <w:pPr>
        <w:numPr>
          <w:ilvl w:val="0"/>
          <w:numId w:val="1002"/>
        </w:numPr>
        <w:pStyle w:val="Compact"/>
      </w:pPr>
      <w:r>
        <w:t xml:space="preserve">Theme-compatible templates (SimplePager)</w:t>
      </w:r>
    </w:p>
    <w:bookmarkEnd w:id="20"/>
    <w:bookmarkEnd w:id="21"/>
    <w:bookmarkStart w:id="22" w:name="database-tables"/>
    <w:p>
      <w:pPr>
        <w:pStyle w:val="Heading2"/>
      </w:pPr>
      <w:r>
        <w:t xml:space="preserve">Database tables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ahg_physical_object_storage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ahg_strongroom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database/install.sql</w:t>
      </w:r>
      <w:r>
        <w:t xml:space="preserve"> </w:t>
      </w:r>
      <w:r>
        <w:t xml:space="preserve">for the schema (sidecar tables only; no Qubit base-table changes).</w:t>
      </w:r>
    </w:p>
    <w:bookmarkEnd w:id="22"/>
    <w:bookmarkStart w:id="23" w:name="routes"/>
    <w:p>
      <w:pPr>
        <w:pStyle w:val="Heading2"/>
      </w:pPr>
      <w:r>
        <w:t xml:space="preserve">Routes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physicalobject_browse_override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physicalobject_autocomplete_override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physicalobject_boxlist_override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/physicalobject/boxList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physicalobject_holdings_export_override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/physicalobject/holdingsReportExport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holdingsReportExport</w:t>
            </w:r>
          </w:p>
        </w:tc>
      </w:tr>
    </w:tbl>
    <w:bookmarkEnd w:id="23"/>
    <w:bookmarkStart w:id="24" w:name="module-actions"/>
    <w:p>
      <w:pPr>
        <w:pStyle w:val="Heading2"/>
      </w:pPr>
      <w:r>
        <w:t xml:space="preserve">Module actions</w:t>
      </w:r>
    </w:p>
    <w:p>
      <w:pPr>
        <w:pStyle w:val="FirstParagraph"/>
      </w:pPr>
      <w:r>
        <w:rPr>
          <w:rStyle w:val="VerbatimChar"/>
          <w:bCs/>
          <w:b/>
        </w:rPr>
        <w:t xml:space="preserve">storageManage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browse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holdingsReportExport</w:t>
      </w:r>
      <w:r>
        <w:t xml:space="preserve"> </w:t>
      </w:r>
      <w:r>
        <w:rPr>
          <w:rStyle w:val="VerbatimChar"/>
          <w:bCs/>
          <w:b/>
        </w:rPr>
        <w:t xml:space="preserve">physicalobject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holdingsReportExport</w:t>
      </w:r>
      <w:r>
        <w:t xml:space="preserve"> </w:t>
      </w:r>
      <w:r>
        <w:rPr>
          <w:rStyle w:val="VerbatimChar"/>
          <w:bCs/>
          <w:b/>
        </w:rPr>
        <w:t xml:space="preserve">strongroom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browse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unassign</w:t>
      </w:r>
    </w:p>
    <w:bookmarkEnd w:id="24"/>
    <w:bookmarkStart w:id="28" w:name="service-layer"/>
    <w:p>
      <w:pPr>
        <w:pStyle w:val="Heading2"/>
      </w:pPr>
      <w:r>
        <w:t xml:space="preserve">Service layer</w:t>
      </w:r>
    </w:p>
    <w:bookmarkStart w:id="25" w:name="storagebrowseservice"/>
    <w:p>
      <w:pPr>
        <w:pStyle w:val="Heading3"/>
      </w:pPr>
      <w:r>
        <w:rPr>
          <w:rStyle w:val="VerbatimChar"/>
        </w:rPr>
        <w:t xml:space="preserve">StorageBrowseService</w:t>
      </w:r>
    </w:p>
    <w:p>
      <w:pPr>
        <w:pStyle w:val="FirstParagraph"/>
      </w:pPr>
      <w:r>
        <w:rPr>
          <w:rStyle w:val="VerbatimChar"/>
        </w:rPr>
        <w:t xml:space="preserve">lib/Services/StorageBrowseService.php</w:t>
      </w:r>
    </w:p>
    <w:p>
      <w:pPr>
        <w:pStyle w:val="BodyText"/>
      </w:pPr>
      <w:r>
        <w:t xml:space="preserve">Public methods:</w:t>
      </w:r>
      <w:r>
        <w:t xml:space="preserve"> </w:t>
      </w:r>
      <w:r>
        <w:rPr>
          <w:rStyle w:val="VerbatimChar"/>
        </w:rPr>
        <w:t xml:space="preserve">browse()</w:t>
      </w:r>
    </w:p>
    <w:bookmarkEnd w:id="25"/>
    <w:bookmarkStart w:id="26" w:name="strongroomservice"/>
    <w:p>
      <w:pPr>
        <w:pStyle w:val="Heading3"/>
      </w:pPr>
      <w:r>
        <w:rPr>
          <w:rStyle w:val="VerbatimChar"/>
        </w:rPr>
        <w:t xml:space="preserve">StrongroomService</w:t>
      </w:r>
    </w:p>
    <w:p>
      <w:pPr>
        <w:pStyle w:val="FirstParagraph"/>
      </w:pPr>
      <w:r>
        <w:rPr>
          <w:rStyle w:val="VerbatimChar"/>
        </w:rPr>
        <w:t xml:space="preserve">lib/Services/StrongroomService.php</w:t>
      </w:r>
    </w:p>
    <w:p>
      <w:pPr>
        <w:pStyle w:val="BodyText"/>
      </w:pPr>
      <w:r>
        <w:t xml:space="preserve">Public methods:</w:t>
      </w:r>
      <w:r>
        <w:t xml:space="preserve"> </w:t>
      </w:r>
      <w:r>
        <w:rPr>
          <w:rStyle w:val="VerbatimChar"/>
        </w:rPr>
        <w:t xml:space="preserve">getBySlug()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getById()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getOccupants()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getUsedCapacity()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getRemainingCapacity()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capacityOverflow()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dropdownChoices()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unassign()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getAssignment()</w:t>
      </w:r>
    </w:p>
    <w:bookmarkEnd w:id="26"/>
    <w:bookmarkStart w:id="27" w:name="storagecrudservice"/>
    <w:p>
      <w:pPr>
        <w:pStyle w:val="Heading3"/>
      </w:pPr>
      <w:r>
        <w:rPr>
          <w:rStyle w:val="VerbatimChar"/>
        </w:rPr>
        <w:t xml:space="preserve">StorageCrudService</w:t>
      </w:r>
    </w:p>
    <w:p>
      <w:pPr>
        <w:pStyle w:val="FirstParagraph"/>
      </w:pPr>
      <w:r>
        <w:rPr>
          <w:rStyle w:val="VerbatimChar"/>
        </w:rPr>
        <w:t xml:space="preserve">lib/Services/StorageCrudService.php</w:t>
      </w:r>
    </w:p>
    <w:p>
      <w:pPr>
        <w:pStyle w:val="BodyText"/>
      </w:pPr>
      <w:r>
        <w:t xml:space="preserve">Public methods:</w:t>
      </w:r>
      <w:r>
        <w:t xml:space="preserve"> </w:t>
      </w:r>
      <w:r>
        <w:rPr>
          <w:rStyle w:val="VerbatimChar"/>
        </w:rPr>
        <w:t xml:space="preserve">getById()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getBySlug()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getTypes()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getLinkedObjects()</w:t>
      </w:r>
    </w:p>
    <w:bookmarkEnd w:id="27"/>
    <w:bookmarkEnd w:id="28"/>
    <w:bookmarkStart w:id="29" w:name="standards-conventions"/>
    <w:p>
      <w:pPr>
        <w:pStyle w:val="Heading2"/>
      </w:pPr>
      <w:r>
        <w:t xml:space="preserve">Standards &amp; conventions</w:t>
      </w:r>
    </w:p>
    <w:p>
      <w:pPr>
        <w:numPr>
          <w:ilvl w:val="0"/>
          <w:numId w:val="1004"/>
        </w:numPr>
        <w:pStyle w:val="Compact"/>
      </w:pPr>
      <w:r>
        <w:t xml:space="preserve">Laravel Query Builder (Illuminate Capsule) for data access; base AtoM (Qubit) tables are read-only.</w:t>
      </w:r>
    </w:p>
    <w:p>
      <w:pPr>
        <w:numPr>
          <w:ilvl w:val="0"/>
          <w:numId w:val="1004"/>
        </w:numPr>
        <w:pStyle w:val="Compact"/>
      </w:pPr>
      <w:r>
        <w:t xml:space="preserve">Routes registered via</w:t>
      </w:r>
      <w:r>
        <w:t xml:space="preserve"> </w:t>
      </w:r>
      <w:r>
        <w:rPr>
          <w:rStyle w:val="VerbatimChar"/>
        </w:rPr>
        <w:t xml:space="preserve">AtomFramework\Routing\RouteLoader</w:t>
      </w:r>
      <w:r>
        <w:t xml:space="preserve"> </w:t>
      </w:r>
      <w:r>
        <w:t xml:space="preserve">in the plugin config class.</w:t>
      </w:r>
    </w:p>
    <w:p>
      <w:pPr>
        <w:numPr>
          <w:ilvl w:val="0"/>
          <w:numId w:val="1004"/>
        </w:numPr>
        <w:pStyle w:val="Compact"/>
      </w:pPr>
      <w:r>
        <w:t xml:space="preserve">No MySQL ENUM (controlled values via</w:t>
      </w:r>
      <w:r>
        <w:t xml:space="preserve"> </w:t>
      </w:r>
      <w:r>
        <w:rPr>
          <w:rStyle w:val="VerbatimChar"/>
        </w:rPr>
        <w:t xml:space="preserve">ahg_dropdown</w:t>
      </w:r>
      <w:r>
        <w:t xml:space="preserve">); CSP nonce on inline scripts/styles.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2026-06-27T18:56:40Z</dcterms:created>
  <dcterms:modified xsi:type="dcterms:W3CDTF">2026-06-27T18:56:40Z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