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Time-Limited Share Link — Feature Overview</w:t>
      </w:r>
    </w:p>
    <w:p>
      <w:pPr>
        <w:pStyle w:val="Author"/>
      </w:pPr>
      <w:r>
        <w:t xml:space="preserve">The Archive and Heritage Group (Pty) Ltd</w:t>
      </w:r>
    </w:p>
    <w:bookmarkStart w:id="29" w:name="time-limited-share-link-feature-overview"/>
    <w:p>
      <w:pPr>
        <w:pStyle w:val="Heading1"/>
      </w:pPr>
      <w:r>
        <w:t xml:space="preserve">Time-Limited Share Link — Feature Overview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rPr>
          <w:rStyle w:val="VerbatimChar"/>
        </w:rPr>
        <w:t xml:space="preserve">ahgTimeLimitedShareLinkPlugin</w:t>
      </w:r>
      <w:r>
        <w:t xml:space="preserve"> </w:t>
      </w:r>
      <w:r>
        <w:t xml:space="preserve">(AtoM) /</w:t>
      </w:r>
      <w:r>
        <w:t xml:space="preserve"> </w:t>
      </w:r>
      <w:r>
        <w:rPr>
          <w:rStyle w:val="VerbatimChar"/>
        </w:rPr>
        <w:t xml:space="preserve">ahg-share-link</w:t>
      </w:r>
      <w:r>
        <w:t xml:space="preserve"> </w:t>
      </w:r>
      <w:r>
        <w:t xml:space="preserve">(Heratio)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0.1.0 (initial release)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Access control / public engagement</w:t>
      </w:r>
    </w:p>
    <w:bookmarkStart w:id="20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Lets authorised staff send a recipient a private, time-limited URL to a single archival record. Anyone holding the link sees the record’s title and description until the link expires or is revoked. Every issue, view, denial, and revocation is audited end-to-end.</w:t>
      </w:r>
    </w:p>
    <w:p>
      <w:pPr>
        <w:pStyle w:val="BodyText"/>
      </w:pPr>
      <w:r>
        <w:t xml:space="preserve">Designed for archives that need to share a record with a researcher, journalist, agency, or external reviewer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creating a permanent user account or making the record publicly browseable.</w:t>
      </w:r>
    </w:p>
    <w:bookmarkEnd w:id="20"/>
    <w:bookmarkStart w:id="21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Time-limited, single-record URLs.</w:t>
      </w:r>
      <w:r>
        <w:t xml:space="preserve"> </w:t>
      </w:r>
      <w:r>
        <w:t xml:space="preserve">Each link points to exactly one information object. Defaults to 14 days; capped at 90 days unless the issuer holds the</w:t>
      </w:r>
      <w:r>
        <w:t xml:space="preserve"> </w:t>
      </w:r>
      <w:r>
        <w:rPr>
          <w:rStyle w:val="VerbatimChar"/>
        </w:rPr>
        <w:t xml:space="preserve">share_link.create_unlimited_expiry</w:t>
      </w:r>
      <w:r>
        <w:t xml:space="preserve"> </w:t>
      </w:r>
      <w:r>
        <w:t xml:space="preserve">permission. Both defaults are admin-configurable.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HMAC-derived, unguessable tokens.</w:t>
      </w:r>
      <w:r>
        <w:t xml:space="preserve"> </w:t>
      </w:r>
      <w:r>
        <w:t xml:space="preserve">43-character URL-safe tokens generated with HMAC-SHA256 over a per-install secret. The secret is auto-bootstrapped on first use; rotation invalidates every existing token.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Optional visit quota.</w:t>
      </w:r>
      <w:r>
        <w:t xml:space="preserve"> </w:t>
      </w:r>
      <w:r>
        <w:t xml:space="preserve">Issuers can cap the number of times a link can be opened. Once the quota is exhausted the URL returns a friendly</w:t>
      </w:r>
      <w:r>
        <w:t xml:space="preserve"> </w:t>
      </w:r>
      <w:r>
        <w:t xml:space="preserve">“</w:t>
      </w:r>
      <w:r>
        <w:t xml:space="preserve">denied</w:t>
      </w:r>
      <w:r>
        <w:t xml:space="preserve">”</w:t>
      </w:r>
      <w:r>
        <w:t xml:space="preserve"> </w:t>
      </w:r>
      <w:r>
        <w:t xml:space="preserve">page; the access is still recorded.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Recipient hint.</w:t>
      </w:r>
      <w:r>
        <w:t xml:space="preserve"> </w:t>
      </w:r>
      <w:r>
        <w:t xml:space="preserve">Issuers can attach a recipient email and free-text note. Both are stored alongside the token for audit and to help admins recognise the link in the management UI.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Anonymous bearer access.</w:t>
      </w:r>
      <w:r>
        <w:t xml:space="preserve"> </w:t>
      </w:r>
      <w:r>
        <w:t xml:space="preserve">No login required on the recipient side — the token is the credential. The recipient lands on a clean record view branded</w:t>
      </w:r>
      <w:r>
        <w:t xml:space="preserve"> </w:t>
      </w:r>
      <w:r>
        <w:t xml:space="preserve">“</w:t>
      </w:r>
      <w:r>
        <w:t xml:space="preserve">Shared by</w:t>
      </w:r>
      <w:r>
        <w:t xml:space="preserve"> </w:t>
      </w:r>
      <w:r>
        <w:rPr>
          <w:iCs/>
          <w:i/>
        </w:rPr>
        <w:t xml:space="preserve">issuer</w:t>
      </w:r>
      <w:r>
        <w:t xml:space="preserve"> </w:t>
      </w:r>
      <w:r>
        <w:t xml:space="preserve">· expires</w:t>
      </w:r>
      <w:r>
        <w:t xml:space="preserve"> </w:t>
      </w:r>
      <w:r>
        <w:rPr>
          <w:iCs/>
          <w:i/>
        </w:rPr>
        <w:t xml:space="preserve">date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 </w:t>
      </w:r>
      <w:r>
        <w:t xml:space="preserve">header to prevent token leakage via the Referer header.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Classified-record guard.</w:t>
      </w:r>
      <w:r>
        <w:t xml:space="preserve"> </w:t>
      </w:r>
      <w:r>
        <w:t xml:space="preserve">Issuing a link for a classified record requires the</w:t>
      </w:r>
      <w:r>
        <w:t xml:space="preserve"> </w:t>
      </w:r>
      <w:r>
        <w:rPr>
          <w:rStyle w:val="VerbatimChar"/>
        </w:rPr>
        <w:t xml:space="preserve">share_link.create_classified</w:t>
      </w:r>
      <w:r>
        <w:t xml:space="preserve"> </w:t>
      </w:r>
      <w:r>
        <w:t xml:space="preserve">permission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clearance at or above the record’s current classification level, enforced via</w:t>
      </w:r>
      <w:r>
        <w:t xml:space="preserve"> </w:t>
      </w:r>
      <w:r>
        <w:rPr>
          <w:rStyle w:val="VerbatimChar"/>
        </w:rPr>
        <w:t xml:space="preserve">ahgSecurityClearancePlugin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 index + per-token detail.</w:t>
      </w:r>
      <w:r>
        <w:t xml:space="preserve"> </w:t>
      </w:r>
      <w:r>
        <w:rPr>
          <w:rStyle w:val="VerbatimChar"/>
        </w:rPr>
        <w:t xml:space="preserve">/admin/share-links</w:t>
      </w:r>
      <w:r>
        <w:t xml:space="preserve"> </w:t>
      </w:r>
      <w:r>
        <w:t xml:space="preserve">lists every link with status (active / expired / revoked / exhausted), issuer, recipient, expiry, visit count, and revoke button. Per-token detail page shows the full access log (last 200 hits — IP, user agent, outcome).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One-click revocation.</w:t>
      </w:r>
      <w:r>
        <w:t xml:space="preserve"> </w:t>
      </w:r>
      <w:r>
        <w:t xml:space="preserve">Revoking a link sets</w:t>
      </w:r>
      <w:r>
        <w:t xml:space="preserve"> </w:t>
      </w:r>
      <w:r>
        <w:rPr>
          <w:rStyle w:val="VerbatimChar"/>
        </w:rPr>
        <w:t xml:space="preserve">revoked_at</w:t>
      </w:r>
      <w:r>
        <w:t xml:space="preserve"> </w:t>
      </w:r>
      <w:r>
        <w:t xml:space="preserve">immediately. The very next click on the link returns a 410 with a</w:t>
      </w:r>
      <w:r>
        <w:t xml:space="preserve"> </w:t>
      </w:r>
      <w:r>
        <w:t xml:space="preserve">“</w:t>
      </w:r>
      <w:r>
        <w:t xml:space="preserve">revoked</w:t>
      </w:r>
      <w:r>
        <w:t xml:space="preserve">”</w:t>
      </w:r>
      <w:r>
        <w:t xml:space="preserve"> </w:t>
      </w:r>
      <w:r>
        <w:t xml:space="preserve">reason. Owners can revoke their own links; revoking another user’s link requires the</w:t>
      </w:r>
      <w:r>
        <w:t xml:space="preserve"> </w:t>
      </w:r>
      <w:r>
        <w:rPr>
          <w:rStyle w:val="VerbatimChar"/>
        </w:rPr>
        <w:t xml:space="preserve">share_link.revoke_others</w:t>
      </w:r>
      <w:r>
        <w:t xml:space="preserve"> </w:t>
      </w:r>
      <w:r>
        <w:t xml:space="preserve">permission.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Retention sweeps.</w:t>
      </w:r>
      <w:r>
        <w:t xml:space="preserve"> </w:t>
      </w:r>
      <w:r>
        <w:t xml:space="preserve">A daily cron command (</w:t>
      </w:r>
      <w:r>
        <w:rPr>
          <w:rStyle w:val="VerbatimChar"/>
        </w:rPr>
        <w:t xml:space="preserve">php symfony share-link:prune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php artisan share-link:prune</w:t>
      </w:r>
      <w:r>
        <w:t xml:space="preserve">) deletes tokens whose expiry or revocation date is older than the configured retention, and trims access-log rows older than the access-log retention. Defaults: 365 days for tokens, 180 days for access rows.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End-to-end audit trail.</w:t>
      </w:r>
      <w:r>
        <w:t xml:space="preserve"> </w:t>
      </w:r>
      <w:r>
        <w:t xml:space="preserve">Issue, every access attempt (allowed and denied), every revoke, and every retention sweep are mirrored into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 module=</w:t>
      </w:r>
      <w:r>
        <w:rPr>
          <w:rStyle w:val="VerbatimChar"/>
        </w:rPr>
        <w:t xml:space="preserve">share_link</w:t>
      </w:r>
      <w:r>
        <w:t xml:space="preserve">. Compliance reviews see share-link events alongside every other auditable action.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Cross-surface parity.</w:t>
      </w:r>
      <w:r>
        <w:t xml:space="preserve"> </w:t>
      </w:r>
      <w:r>
        <w:t xml:space="preserve">Identical schema, token format, audit payload, and admin UX across AtoM (Symfony 1.x) and Heratio (Laravel). A token issued on one surface can be accessed on the other.</w:t>
      </w:r>
    </w:p>
    <w:bookmarkEnd w:id="21"/>
    <w:bookmarkStart w:id="22" w:name="compliance-and-standards-alignment"/>
    <w:p>
      <w:pPr>
        <w:pStyle w:val="Heading2"/>
      </w:pPr>
      <w:r>
        <w:t xml:space="preserve">Compliance and standards alignment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 / 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plugin supports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POPIA / GDPR / CCPA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access is auditable; tokens expire automatically; revocation is immediate; recipient context (email + note) is stored for accountability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NARSSA</w:t>
            </w:r>
            <w:r>
              <w:t xml:space="preserve"> </w:t>
            </w:r>
            <w:r>
              <w:t xml:space="preserve">records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lifecycle events (issue / access / revoke / prune) are dual-written to the central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GCIS RFB 001 2026/2027</w:t>
            </w:r>
            <w:r>
              <w:t xml:space="preserve"> </w:t>
            </w:r>
            <w:r>
              <w:t xml:space="preserve">clauses 4.1.1.9 (audit trail management) and 4.4 (security &amp; access)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 ACL (5 distinct permissions) + per-token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 27001</w:t>
            </w:r>
            <w:r>
              <w:t xml:space="preserve"> </w:t>
            </w: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Bearer-token credentials are time-limited, single-record-scoped, individually revokable, and fully audited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records require explicit permission + matching clearance at issuance time; classification level is captured at issuance so subsequent re-classification doesn’t quietly broaden the link’s scope</w:t>
            </w:r>
          </w:p>
        </w:tc>
      </w:tr>
    </w:tbl>
    <w:bookmarkEnd w:id="22"/>
    <w:bookmarkStart w:id="23" w:name="how-it-scales"/>
    <w:p>
      <w:pPr>
        <w:pStyle w:val="Heading2"/>
      </w:pPr>
      <w:r>
        <w:t xml:space="preserve">How it scales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Token storage</w:t>
      </w:r>
      <w:r>
        <w:t xml:space="preserve"> </w:t>
      </w:r>
      <w:r>
        <w:t xml:space="preserve">~250 bytes per token row. 10,000 active + retained tokens ≈ 2.5 MB.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Access-log storage</w:t>
      </w:r>
      <w:r>
        <w:t xml:space="preserve"> </w:t>
      </w:r>
      <w:r>
        <w:t xml:space="preserve">~400 bytes per access row. A heavily-shared archive at 1,000 hits/day with 180-day retention ≈ 70 MB.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path</w:t>
      </w:r>
      <w:r>
        <w:t xml:space="preserve"> </w:t>
      </w:r>
      <w:r>
        <w:t xml:space="preserve">is a single indexed lookup on</w:t>
      </w:r>
      <w:r>
        <w:t xml:space="preserve"> </w:t>
      </w:r>
      <w:r>
        <w:rPr>
          <w:rStyle w:val="VerbatimChar"/>
        </w:rPr>
        <w:t xml:space="preserve">information_object_share_token.token</w:t>
      </w:r>
      <w:r>
        <w:t xml:space="preserve"> </w:t>
      </w:r>
      <w:r>
        <w:t xml:space="preserve">(UNIQUE) plus a SELECT for the i18n record.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background daemons</w:t>
      </w:r>
      <w:r>
        <w:t xml:space="preserve"> </w:t>
      </w:r>
      <w:r>
        <w:t xml:space="preserve">required. The retention sweep is a daily cron; it’s a no-op when no rows qualify.</w:t>
      </w:r>
    </w:p>
    <w:bookmarkEnd w:id="23"/>
    <w:bookmarkStart w:id="24" w:name="permission-matrix-default"/>
    <w:p>
      <w:pPr>
        <w:pStyle w:val="Heading2"/>
      </w:pPr>
      <w:r>
        <w:t xml:space="preserve">Permission matrix (default)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38"/>
        <w:gridCol w:w="971"/>
        <w:gridCol w:w="1046"/>
        <w:gridCol w:w="1419"/>
        <w:gridCol w:w="13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 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Editor (101)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Contributor (102)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Translator (103)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share_link.create_classified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share_link.create_unlimited_expiry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share_link.list_all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share_link.revoke_others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Administrators bypass all checks in code. Default seeds are idempotent and additive — re-running them never duplicates or overwrites existing grants.</w:t>
      </w:r>
    </w:p>
    <w:bookmarkEnd w:id="24"/>
    <w:bookmarkStart w:id="25" w:name="whats-audited"/>
    <w:p>
      <w:pPr>
        <w:pStyle w:val="Heading2"/>
      </w:pPr>
      <w:r>
        <w:t xml:space="preserve">What’s audited</w:t>
      </w:r>
    </w:p>
    <w:p>
      <w:pPr>
        <w:pStyle w:val="FirstParagraph"/>
      </w:pPr>
      <w:r>
        <w:t xml:space="preserve">Every operation writes a 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(module =</w:t>
      </w:r>
      <w:r>
        <w:t xml:space="preserve"> </w:t>
      </w:r>
      <w:r>
        <w:rPr>
          <w:rStyle w:val="VerbatimChar"/>
        </w:rPr>
        <w:t xml:space="preserve">share_link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3168"/>
        <w:gridCol w:w="1083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token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token_id, expires_at, recipient_email, recipient_note, max_access, classification_level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share_link_accessed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recipient hit (allowed or denied)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/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action_name: view / denied_expired / denied_revoked / denied_quota / denied_unknown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token_id, was_owner flag, optional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sweep with deletions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tokens_deleted, access_rows_deleted, retention values used</w:t>
            </w:r>
          </w:p>
        </w:tc>
      </w:tr>
    </w:tbl>
    <w:bookmarkEnd w:id="25"/>
    <w:bookmarkStart w:id="26" w:name="technical-requirements"/>
    <w:p>
      <w:pPr>
        <w:pStyle w:val="Heading2"/>
      </w:pPr>
      <w:r>
        <w:t xml:space="preserve">Technical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AtoM</w:t>
      </w:r>
      <w:r>
        <w:t xml:space="preserve"> </w:t>
      </w:r>
      <w:r>
        <w:t xml:space="preserve">2.10 (Symfony 1.x), MySQL 8, PHP 8.1+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Heratio</w:t>
      </w:r>
      <w:r>
        <w:t xml:space="preserve"> </w:t>
      </w:r>
      <w:r>
        <w:t xml:space="preserve">(Laravel 10+), MySQL 8, PHP 8.2+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 plugin:</w:t>
      </w:r>
      <w:r>
        <w:t xml:space="preserve"> </w:t>
      </w:r>
      <w:r>
        <w:rPr>
          <w:rStyle w:val="VerbatimChar"/>
        </w:rPr>
        <w:t xml:space="preserve">ahgCorePlugin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Recommended plugins (graceful fall-back if missing):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ahgAuditTrailPlugin</w:t>
      </w:r>
      <w:r>
        <w:t xml:space="preserve"> </w:t>
      </w:r>
      <w:r>
        <w:t xml:space="preserve">— for the central audit feed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ahgSecurityClearancePlugin</w:t>
      </w:r>
      <w:r>
        <w:t xml:space="preserve"> </w:t>
      </w:r>
      <w:r>
        <w:t xml:space="preserve">— for classified-record guards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ahgSettingsPlugin</w:t>
      </w:r>
      <w:r>
        <w:t xml:space="preserve"> </w:t>
      </w:r>
      <w:r>
        <w:t xml:space="preserve">— for the integrated settings UI; if absent the plugin still reads defaults and runs</w:t>
      </w:r>
    </w:p>
    <w:bookmarkEnd w:id="26"/>
    <w:bookmarkStart w:id="27" w:name="out-of-scope-current-release"/>
    <w:p>
      <w:pPr>
        <w:pStyle w:val="Heading2"/>
      </w:pPr>
      <w:r>
        <w:t xml:space="preserve">Out of scope (current release)</w:t>
      </w:r>
    </w:p>
    <w:p>
      <w:pPr>
        <w:numPr>
          <w:ilvl w:val="0"/>
          <w:numId w:val="1005"/>
        </w:numPr>
        <w:pStyle w:val="Compact"/>
      </w:pPr>
      <w:r>
        <w:t xml:space="preserve">Bulk issuance (one-by-one only). A</w:t>
      </w:r>
      <w:r>
        <w:t xml:space="preserve"> </w:t>
      </w:r>
      <w:r>
        <w:t xml:space="preserve">“</w:t>
      </w:r>
      <w:r>
        <w:t xml:space="preserve">Generate links for everything in this folder</w:t>
      </w:r>
      <w:r>
        <w:t xml:space="preserve">”</w:t>
      </w:r>
      <w:r>
        <w:t xml:space="preserve"> </w:t>
      </w:r>
      <w:r>
        <w:t xml:space="preserve">flow is a future enhancement.</w:t>
      </w:r>
    </w:p>
    <w:p>
      <w:pPr>
        <w:numPr>
          <w:ilvl w:val="0"/>
          <w:numId w:val="1005"/>
        </w:numPr>
        <w:pStyle w:val="Compact"/>
      </w:pPr>
      <w:r>
        <w:t xml:space="preserve">Recipient self-service download for digital objects beyond what the issuer can download themselves at issuance time. The</w:t>
      </w:r>
      <w:r>
        <w:t xml:space="preserve"> </w:t>
      </w:r>
      <w:r>
        <w:rPr>
          <w:rStyle w:val="VerbatimChar"/>
        </w:rPr>
        <w:t xml:space="preserve">issuer_download_at_issuance</w:t>
      </w:r>
      <w:r>
        <w:t xml:space="preserve"> </w:t>
      </w:r>
      <w:r>
        <w:t xml:space="preserve">flag is captured for use in a forthcoming digital-object download flow.</w:t>
      </w:r>
    </w:p>
    <w:p>
      <w:pPr>
        <w:numPr>
          <w:ilvl w:val="0"/>
          <w:numId w:val="1005"/>
        </w:numPr>
        <w:pStyle w:val="Compact"/>
      </w:pPr>
      <w:r>
        <w:t xml:space="preserve">HMAC secret rotation runbook. The secret is auto-generated on first use; rotation invalidates every existing token and is intentionally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exposed in the admin UI to prevent accidental link-mass-invalidation.</w:t>
      </w:r>
    </w:p>
    <w:bookmarkEnd w:id="27"/>
    <w:bookmarkStart w:id="28" w:name="licence"/>
    <w:p>
      <w:pPr>
        <w:pStyle w:val="Heading2"/>
      </w:pPr>
      <w:r>
        <w:t xml:space="preserve">Licence</w:t>
      </w:r>
    </w:p>
    <w:p>
      <w:pPr>
        <w:pStyle w:val="FirstParagraph"/>
      </w:pPr>
      <w:r>
        <w:t xml:space="preserve">AGPL-3.0-or-later. © 2026 The Archive and Heritage Group (Pty) Ltd.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Time-Limited Share Link — Feature Overview</dc:title>
  <dc:creator>The Archive and Heritage Group (Pty) Ltd</dc:creator>
  <cp:keywords/>
  <dcterms:created xsi:type="dcterms:W3CDTF">2026-05-11T17:16:04Z</dcterms:created>
  <dcterms:modified xsi:type="dcterms:W3CDTF">2026-05-11T17:16:04Z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