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ahgStorageManagePlugin - Technical Documentation</w:t>
      </w:r>
    </w:p>
    <w:p>
      <w:pPr>
        <w:pStyle w:val="Author"/>
      </w:pPr>
      <w:r>
        <w:t xml:space="preserve">The Archive and Heritage Group (Pty) Ltd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Xbd3dbf54061d5a1da1f3a3e01f93c0ca4346496"/>
    <w:p>
      <w:pPr>
        <w:pStyle w:val="Heading1"/>
      </w:pPr>
      <w:r>
        <w:t xml:space="preserve">ahgStorageManagePlugin - Technical Documentation</w:t>
      </w:r>
    </w:p>
    <w:p>
      <w:pPr>
        <w:pStyle w:val="BlockText"/>
      </w:pPr>
      <w:r>
        <w:t xml:space="preserve">Auto-generated from plugin code (2026-06-27). Physical storage browse and management using Laravel Query Builder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Storage Manage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ahgStorageManagePlugin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browse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Physical storage browse via Laravel Query Builder</w:t>
      </w:r>
    </w:p>
    <w:p>
      <w:pPr>
        <w:numPr>
          <w:ilvl w:val="0"/>
          <w:numId w:val="1002"/>
        </w:numPr>
        <w:pStyle w:val="Compact"/>
      </w:pPr>
      <w:r>
        <w:t xml:space="preserve">Sort by name and location with direction toggle</w:t>
      </w:r>
    </w:p>
    <w:p>
      <w:pPr>
        <w:numPr>
          <w:ilvl w:val="0"/>
          <w:numId w:val="1002"/>
        </w:numPr>
        <w:pStyle w:val="Compact"/>
      </w:pPr>
      <w:r>
        <w:t xml:space="preserve">Inline search across name, location, and type</w:t>
      </w:r>
    </w:p>
    <w:p>
      <w:pPr>
        <w:numPr>
          <w:ilvl w:val="0"/>
          <w:numId w:val="1002"/>
        </w:numPr>
        <w:pStyle w:val="Compact"/>
      </w:pPr>
      <w:r>
        <w:t xml:space="preserve">Export storage report link</w:t>
      </w:r>
    </w:p>
    <w:p>
      <w:pPr>
        <w:numPr>
          <w:ilvl w:val="0"/>
          <w:numId w:val="1002"/>
        </w:numPr>
        <w:pStyle w:val="Compact"/>
      </w:pPr>
      <w:r>
        <w:t xml:space="preserve">Theme-compatible templates (SimplePager)</w:t>
      </w:r>
    </w:p>
    <w:bookmarkEnd w:id="20"/>
    <w:bookmarkEnd w:id="21"/>
    <w:bookmarkStart w:id="22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ahg_physical_object_storage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ahg_strongroom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ahg_storage_location</w:t>
      </w:r>
      <w:r>
        <w:t xml:space="preserve"> </w:t>
      </w:r>
      <w:r>
        <w:t xml:space="preserve">- the hierarchy.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is the source of truth;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is denormalised depth, kept for ordering and recomputed for a subtree after a move.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ahg_storage_location_closure</w:t>
      </w:r>
      <w:r>
        <w:t xml:space="preserve"> </w:t>
      </w:r>
      <w:r>
        <w:t xml:space="preserve">- a maintained index of every (ancestor, descendant, depth) pair, including self-pairs at depth 0, updated in the same transaction as the row. Subtree, path and cycle checks are single indexed queries.</w:t>
      </w:r>
      <w:r>
        <w:t xml:space="preserve"> </w:t>
      </w:r>
      <w:r>
        <w:rPr>
          <w:rStyle w:val="VerbatimChar"/>
        </w:rPr>
        <w:t xml:space="preserve">install.sql</w:t>
      </w:r>
      <w:r>
        <w:t xml:space="preserve"> </w:t>
      </w:r>
      <w:r>
        <w:t xml:space="preserve">carries an idempotent backfill;</w:t>
      </w:r>
      <w:r>
        <w:t xml:space="preserve"> </w:t>
      </w:r>
      <w:r>
        <w:rPr>
          <w:rStyle w:val="VerbatimChar"/>
        </w:rPr>
        <w:t xml:space="preserve">rebuildClosure()</w:t>
      </w:r>
      <w:r>
        <w:t xml:space="preserve"> </w:t>
      </w:r>
      <w:r>
        <w:t xml:space="preserve">re-derives it from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ahg_physical_object_location</w:t>
      </w:r>
      <w:r>
        <w:t xml:space="preserve"> </w:t>
      </w:r>
      <w:r>
        <w:t xml:space="preserve">- one row per object, the current-state index, written in the same transaction as the movement row.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ahg_storage_movement</w:t>
      </w:r>
      <w:r>
        <w:t xml:space="preserve"> </w:t>
      </w:r>
      <w:r>
        <w:t xml:space="preserve">- append-only movement log.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2"/>
    <w:bookmarkStart w:id="23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physicalobject_browse_override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/physicalobject/browse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physicalobject_autocomplete_override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/physicalobject/autocomplete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physicalobject_boxlist_override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/physicalobject/boxList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physicalobject_holdings_export_override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/physicalobject/holdingsReportExport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holdingsReportExport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storagelocation_browse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/storagelocation/browse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storagelocation_view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/storagelocation/view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storagelocation_create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/storagelocation/add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storagelocation_save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/storagelocation/save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storagelocation_edit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/storagelocation/edit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storagelocation_update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/storagelocation/update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storagelocation_delete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/storagelocation/delete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storagelocation_move_objects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/storagelocation/moveObjects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storagelocation_api_locations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/storagelocation/api/locations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storagelocation_api_tree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/storagelocation/api/tree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apiTree</w:t>
            </w:r>
          </w:p>
        </w:tc>
      </w:tr>
    </w:tbl>
    <w:bookmarkEnd w:id="23"/>
    <w:bookmarkStart w:id="24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storageManage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boxList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holdingsReportExport</w:t>
      </w:r>
      <w:r>
        <w:t xml:space="preserve"> </w:t>
      </w:r>
      <w:r>
        <w:rPr>
          <w:rStyle w:val="VerbatimChar"/>
          <w:bCs/>
          <w:b/>
        </w:rPr>
        <w:t xml:space="preserve">physicalobject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boxList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holdingsReportExport</w:t>
      </w:r>
      <w:r>
        <w:t xml:space="preserve"> </w:t>
      </w:r>
      <w:r>
        <w:rPr>
          <w:rStyle w:val="VerbatimChar"/>
          <w:bCs/>
          <w:b/>
        </w:rPr>
        <w:t xml:space="preserve">strongroom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unassign</w:t>
      </w:r>
      <w:r>
        <w:t xml:space="preserve"> </w:t>
      </w:r>
      <w:r>
        <w:rPr>
          <w:rStyle w:val="VerbatimChar"/>
          <w:bCs/>
          <w:b/>
        </w:rPr>
        <w:t xml:space="preserve">storageLocation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moveObjects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apiSearch</w:t>
      </w:r>
    </w:p>
    <w:p>
      <w:pPr>
        <w:pStyle w:val="BodyText"/>
      </w:pPr>
      <w:r>
        <w:rPr>
          <w:rStyle w:val="VerbatimChar"/>
        </w:rPr>
        <w:t xml:space="preserve">storageLocation</w:t>
      </w:r>
      <w:r>
        <w:t xml:space="preserve"> </w:t>
      </w:r>
      <w:r>
        <w:t xml:space="preserve">must appear in</w:t>
      </w:r>
      <w:r>
        <w:t xml:space="preserve"> </w:t>
      </w:r>
      <w:r>
        <w:rPr>
          <w:rStyle w:val="VerbatimChar"/>
        </w:rPr>
        <w:t xml:space="preserve">sf_enabled_modules</w:t>
      </w:r>
      <w:r>
        <w:t xml:space="preserve"> </w:t>
      </w:r>
      <w:r>
        <w:t xml:space="preserve">(set in the plugin configuration class) or every URL throws</w:t>
      </w:r>
      <w:r>
        <w:t xml:space="preserve"> </w:t>
      </w:r>
      <w:r>
        <w:rPr>
          <w:rStyle w:val="VerbatimChar"/>
        </w:rPr>
        <w:t xml:space="preserve">sfConfigurationException</w:t>
      </w:r>
      <w:r>
        <w:t xml:space="preserve"> </w:t>
      </w:r>
      <w:r>
        <w:t xml:space="preserve">before the action loads. Its</w:t>
      </w:r>
      <w:r>
        <w:t xml:space="preserve"> </w:t>
      </w:r>
      <w:r>
        <w:rPr>
          <w:rStyle w:val="VerbatimChar"/>
        </w:rPr>
        <w:t xml:space="preserve">config/security.yml</w:t>
      </w:r>
      <w:r>
        <w:t xml:space="preserve"> </w:t>
      </w:r>
      <w:r>
        <w:t xml:space="preserve">is not optional: the application default is</w:t>
      </w:r>
      <w:r>
        <w:t xml:space="preserve"> </w:t>
      </w:r>
      <w:r>
        <w:rPr>
          <w:rStyle w:val="VerbatimChar"/>
        </w:rPr>
        <w:t xml:space="preserve">is_secure: false</w:t>
      </w:r>
      <w:r>
        <w:t xml:space="preserve">, so a module without one leaves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moveObjects</w:t>
      </w:r>
      <w:r>
        <w:t xml:space="preserve"> </w:t>
      </w:r>
      <w:r>
        <w:t xml:space="preserve">reachable anonymously. Reads are public; writes require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.</w:t>
      </w:r>
    </w:p>
    <w:bookmarkEnd w:id="24"/>
    <w:bookmarkStart w:id="30" w:name="service-layer"/>
    <w:p>
      <w:pPr>
        <w:pStyle w:val="Heading2"/>
      </w:pPr>
      <w:r>
        <w:t xml:space="preserve">Service layer</w:t>
      </w:r>
    </w:p>
    <w:bookmarkStart w:id="25" w:name="storagebrowseservice"/>
    <w:p>
      <w:pPr>
        <w:pStyle w:val="Heading3"/>
      </w:pPr>
      <w:r>
        <w:rPr>
          <w:rStyle w:val="VerbatimChar"/>
        </w:rPr>
        <w:t xml:space="preserve">StorageBrowseService</w:t>
      </w:r>
    </w:p>
    <w:p>
      <w:pPr>
        <w:pStyle w:val="FirstParagraph"/>
      </w:pPr>
      <w:r>
        <w:rPr>
          <w:rStyle w:val="VerbatimChar"/>
        </w:rPr>
        <w:t xml:space="preserve">lib/Services/StorageBrowseService.php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browse()</w:t>
      </w:r>
    </w:p>
    <w:bookmarkEnd w:id="25"/>
    <w:bookmarkStart w:id="26" w:name="strongroomservice"/>
    <w:p>
      <w:pPr>
        <w:pStyle w:val="Heading3"/>
      </w:pPr>
      <w:r>
        <w:rPr>
          <w:rStyle w:val="VerbatimChar"/>
        </w:rPr>
        <w:t xml:space="preserve">StrongroomService</w:t>
      </w:r>
    </w:p>
    <w:p>
      <w:pPr>
        <w:pStyle w:val="FirstParagraph"/>
      </w:pPr>
      <w:r>
        <w:rPr>
          <w:rStyle w:val="VerbatimChar"/>
        </w:rPr>
        <w:t xml:space="preserve">lib/Services/StrongroomService.php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getBySlug()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getOccupants()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getUsedCapacity()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getRemainingCapacity()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capacityOverflow()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dropdownChoices()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assign()</w:t>
      </w:r>
      <w:r>
        <w:t xml:space="preserve">,</w:t>
      </w:r>
      <w:r>
        <w:t xml:space="preserve"> </w:t>
      </w:r>
      <w:r>
        <w:rPr>
          <w:rStyle w:val="VerbatimChar"/>
        </w:rPr>
        <w:t xml:space="preserve">unassign()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getAssignment()</w:t>
      </w:r>
    </w:p>
    <w:bookmarkEnd w:id="26"/>
    <w:bookmarkStart w:id="27" w:name="storagecrudservice"/>
    <w:p>
      <w:pPr>
        <w:pStyle w:val="Heading3"/>
      </w:pPr>
      <w:r>
        <w:rPr>
          <w:rStyle w:val="VerbatimChar"/>
        </w:rPr>
        <w:t xml:space="preserve">StorageCrudService</w:t>
      </w:r>
    </w:p>
    <w:p>
      <w:pPr>
        <w:pStyle w:val="FirstParagraph"/>
      </w:pPr>
      <w:r>
        <w:rPr>
          <w:rStyle w:val="VerbatimChar"/>
        </w:rPr>
        <w:t xml:space="preserve">lib/Services/StorageCrudService.php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getBySlug()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getTypes()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getLinkedObjects()</w:t>
      </w:r>
    </w:p>
    <w:bookmarkEnd w:id="27"/>
    <w:bookmarkStart w:id="28" w:name="storagelocationservice"/>
    <w:p>
      <w:pPr>
        <w:pStyle w:val="Heading3"/>
      </w:pPr>
      <w:r>
        <w:rPr>
          <w:rStyle w:val="VerbatimChar"/>
        </w:rPr>
        <w:t xml:space="preserve">StorageLocationService</w:t>
      </w:r>
    </w:p>
    <w:p>
      <w:pPr>
        <w:pStyle w:val="FirstParagraph"/>
      </w:pPr>
      <w:r>
        <w:rPr>
          <w:rStyle w:val="VerbatimChar"/>
        </w:rPr>
        <w:t xml:space="preserve">lib/Services/StorageLocationService.php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createLocation()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updateLocation()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deleteLocation()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getLocationById()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getLocations()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getLocationTree()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getLocationPath()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getDescendants()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getChildren()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getAllLocationsWithHierarchy()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searchLocations()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rebuildClosure()</w:t>
      </w:r>
    </w:p>
    <w:p>
      <w:pPr>
        <w:pStyle w:val="BodyText"/>
      </w:pPr>
      <w:r>
        <w:t xml:space="preserve">Notes: reads do not swallow database errors, so a missing table surfaces as a failure rather than an empty screen. Slugs fold accents and take a numeric discriminator on collision. Clearing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moves a location to the root. A location that has children, holds objects, or appears in the movement log cannot be deleted.</w:t>
      </w:r>
    </w:p>
    <w:bookmarkEnd w:id="28"/>
    <w:bookmarkStart w:id="29" w:name="storagemovementservice"/>
    <w:p>
      <w:pPr>
        <w:pStyle w:val="Heading3"/>
      </w:pPr>
      <w:r>
        <w:rPr>
          <w:rStyle w:val="VerbatimChar"/>
        </w:rPr>
        <w:t xml:space="preserve">StorageMovementService</w:t>
      </w:r>
    </w:p>
    <w:p>
      <w:pPr>
        <w:pStyle w:val="FirstParagraph"/>
      </w:pPr>
      <w:r>
        <w:rPr>
          <w:rStyle w:val="VerbatimChar"/>
        </w:rPr>
        <w:t xml:space="preserve">lib/Services/StorageMovementService.php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moveObject()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moveObjects()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recordLocationMove()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historyFor()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historyForLocation()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objectsIn()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currentLocationOf()</w:t>
      </w:r>
      <w:r>
        <w:t xml:space="preserve">,</w:t>
      </w:r>
      <w:r>
        <w:t xml:space="preserve"> </w:t>
      </w:r>
      <w:r>
        <w:rPr>
          <w:rStyle w:val="VerbatimChar"/>
        </w:rPr>
        <w:t xml:space="preserve">newBatchId()</w:t>
      </w:r>
    </w:p>
    <w:p>
      <w:pPr>
        <w:pStyle w:val="BodyText"/>
      </w:pPr>
      <w:r>
        <w:t xml:space="preserve">Two subject types,</w:t>
      </w:r>
      <w:r>
        <w:t xml:space="preserve"> </w:t>
      </w:r>
      <w:r>
        <w:rPr>
          <w:rStyle w:val="VerbatimChar"/>
        </w:rPr>
        <w:t xml:space="preserve">physical_object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storage_location</w:t>
      </w:r>
      <w:r>
        <w:t xml:space="preserve">. A location move is logged once, for the location that moved; what sat under it is a closure query, so there is no per-object fan-out. Bulk moves write one row per object sharing a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, in one transaction, skipping objects already at the destination.</w:t>
      </w:r>
    </w:p>
    <w:p>
      <w:pPr>
        <w:pStyle w:val="BodyText"/>
      </w:pPr>
      <w:r>
        <w:rPr>
          <w:bCs/>
          <w:b/>
        </w:rPr>
        <w:t xml:space="preserve">NULL is load-bearing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from_location_id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to_location_id</w:t>
      </w:r>
      <w:r>
        <w:rPr>
          <w:bCs/>
          <w:b/>
        </w:rPr>
        <w:t xml:space="preserve">, and means different things per subject.</w:t>
      </w:r>
      <w:r>
        <w:t xml:space="preserve"> </w:t>
      </w:r>
      <w:r>
        <w:t xml:space="preserve">For an object: no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is a first placement, no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is removal from storage. For a location: the columns hold the old and new parent, and NULL is the root. This is why the foreign keys are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SET NULL</w:t>
      </w:r>
      <w:r>
        <w:t xml:space="preserve"> </w:t>
      </w:r>
      <w:r>
        <w:t xml:space="preserve">- nulling a deleted location’s id would silently turn</w:t>
      </w:r>
      <w:r>
        <w:t xml:space="preserve"> </w:t>
      </w:r>
      <w:r>
        <w:t xml:space="preserve">“</w:t>
      </w:r>
      <w:r>
        <w:t xml:space="preserve">moved out of Room A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taken out of storage</w:t>
      </w:r>
      <w:r>
        <w:t xml:space="preserve">”</w:t>
      </w:r>
      <w:r>
        <w:t xml:space="preserve">. Each row also snapshots the subject name, both location names and the username, so history reads after a rename or a deleted account.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carries no foreign key: the record has to outlive the account.</w:t>
      </w:r>
    </w:p>
    <w:p>
      <w:pPr>
        <w:pStyle w:val="BodyText"/>
      </w:pPr>
      <w:r>
        <w:rPr>
          <w:bCs/>
          <w:b/>
        </w:rPr>
        <w:t xml:space="preserve">Invariant:</w:t>
      </w:r>
      <w:r>
        <w:t xml:space="preserve"> </w:t>
      </w:r>
      <w:r>
        <w:rPr>
          <w:rStyle w:val="VerbatimChar"/>
        </w:rPr>
        <w:t xml:space="preserve">ahg_physical_object_location</w:t>
      </w:r>
      <w:r>
        <w:t xml:space="preserve"> </w:t>
      </w:r>
      <w:r>
        <w:t xml:space="preserve">always equals the latest movement per object.</w:t>
      </w:r>
      <w:r>
        <w:t xml:space="preserve"> </w:t>
      </w:r>
      <w:r>
        <w:rPr>
          <w:rStyle w:val="VerbatimChar"/>
        </w:rPr>
        <w:t xml:space="preserve">testing/storage-movement-check.php &lt;client.cnf&gt;</w:t>
      </w:r>
      <w:r>
        <w:t xml:space="preserve"> </w:t>
      </w:r>
      <w:r>
        <w:t xml:space="preserve">asserts it after every step against a throwaway database;</w:t>
      </w:r>
      <w:r>
        <w:t xml:space="preserve"> </w:t>
      </w:r>
      <w:r>
        <w:rPr>
          <w:rStyle w:val="VerbatimChar"/>
        </w:rPr>
        <w:t xml:space="preserve">testing/storage-location-closure-check.php</w:t>
      </w:r>
      <w:r>
        <w:t xml:space="preserve"> </w:t>
      </w:r>
      <w:r>
        <w:t xml:space="preserve">does the same for the closure against a rebuild from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.</w:t>
      </w:r>
    </w:p>
    <w:bookmarkEnd w:id="29"/>
    <w:bookmarkEnd w:id="30"/>
    <w:bookmarkStart w:id="31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31"/>
    <w:bookmarkEnd w:id="32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ahgStorageManagePlugin - Technical Documentation</dc:title>
  <dc:creator>The Archive and Heritage Group (Pty) Ltd</dc:creator>
  <cp:keywords/>
  <dcterms:created xsi:type="dcterms:W3CDTF">2026-09-28T05:23:49Z</dcterms:created>
  <dcterms:modified xsi:type="dcterms:W3CDTF">2026-09-28T05:23:49Z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