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Full Library System Feature Overview</w:t>
      </w:r>
    </w:p>
    <w:p>
      <w:pPr>
        <w:pStyle w:val="Author"/>
      </w:pPr>
      <w:r>
        <w:t xml:space="preserve">The Archive and Heritage Group (Pty) Ltd</w:t>
      </w:r>
    </w:p>
    <w:bookmarkStart w:id="40" w:name="atom-heratio-full-library-system-ils"/>
    <w:p>
      <w:pPr>
        <w:pStyle w:val="Heading1"/>
      </w:pPr>
      <w:r>
        <w:t xml:space="preserve">AtoM Heratio — Full Library System (ILS)</w:t>
      </w:r>
    </w:p>
    <w:p>
      <w:pPr>
        <w:pStyle w:val="FirstParagraph"/>
      </w:pPr>
      <w:r>
        <w:rPr>
          <w:bCs/>
          <w:b/>
        </w:rPr>
        <w:t xml:space="preserve">Component:</w:t>
      </w:r>
      <w:r>
        <w:t xml:space="preserve"> </w:t>
      </w:r>
      <w:r>
        <w:t xml:space="preserve">ahgLibraryPlugin v2.0.0</w:t>
      </w:r>
      <w:r>
        <w:t xml:space="preserve"> </w:t>
      </w:r>
      <w:r>
        <w:rPr>
          <w:bCs/>
          <w:b/>
        </w:rPr>
        <w:t xml:space="preserve">Category:</w:t>
      </w:r>
      <w:r>
        <w:t xml:space="preserve"> </w:t>
      </w:r>
      <w:r>
        <w:t xml:space="preserve">GLAM Sector — Library</w:t>
      </w:r>
      <w:r>
        <w:t xml:space="preserve"> </w:t>
      </w:r>
      <w:r>
        <w:rPr>
          <w:bCs/>
          <w:b/>
        </w:rPr>
        <w:t xml:space="preserve">Publisher:</w:t>
      </w:r>
      <w:r>
        <w:t xml:space="preserve"> </w:t>
      </w:r>
      <w:r>
        <w:t xml:space="preserve">The Archive and Heritage Group (Pty) Ltd</w:t>
      </w:r>
      <w:r>
        <w:t xml:space="preserve"> </w:t>
      </w:r>
      <w:r>
        <w:rPr>
          <w:bCs/>
          <w:b/>
        </w:rPr>
        <w:t xml:space="preserve">Date:</w:t>
      </w:r>
      <w:r>
        <w:t xml:space="preserve"> </w:t>
      </w:r>
      <w:r>
        <w:t xml:space="preserve">March 2026</w:t>
      </w:r>
    </w:p>
    <w:p>
      <w:r>
        <w:pict>
          <v:rect style="width:0;height:1.5pt" o:hralign="center" o:hrstd="t" o:hr="t"/>
        </w:pict>
      </w:r>
    </w:p>
    <w:bookmarkStart w:id="20" w:name="summary"/>
    <w:p>
      <w:pPr>
        <w:pStyle w:val="Heading2"/>
      </w:pPr>
      <w:r>
        <w:t xml:space="preserve">Summary</w:t>
      </w:r>
    </w:p>
    <w:p>
      <w:pPr>
        <w:pStyle w:val="FirstParagraph"/>
      </w:pPr>
      <w:r>
        <w:t xml:space="preserve">AtoM Heratio’s Full Library System delivers a complete Integrated Library System (ILS) within the AtoM archival platform. Building on a 71-field MARC-inspired cataloging foundation, the plugin adds circulation management, patron services, an Online Public Access Catalog (OPAC), acquisitions, serial control, interlibrary loan, and full MARC 21 import/export.</w:t>
      </w:r>
    </w:p>
    <w:p>
      <w:pPr>
        <w:pStyle w:val="BodyText"/>
      </w:pPr>
      <w:r>
        <w:t xml:space="preserve">For institutions that manage both archival collections and lending libraries, the plugin eliminates the need for a separate ILS by embedding library operations directly into the AtoM environment. Heritage accounting fields aligned with GRAP 103 and IPSAS 45 enable asset valuation and financial tracking on every library item.</w:t>
      </w:r>
    </w:p>
    <w:p>
      <w:r>
        <w:pict>
          <v:rect style="width:0;height:1.5pt" o:hralign="center" o:hrstd="t" o:hr="t"/>
        </w:pict>
      </w:r>
    </w:p>
    <w:bookmarkEnd w:id="20"/>
    <w:bookmarkStart w:id="33" w:name="key-features"/>
    <w:p>
      <w:pPr>
        <w:pStyle w:val="Heading2"/>
      </w:pPr>
      <w:r>
        <w:t xml:space="preserve">Key Features</w:t>
      </w:r>
    </w:p>
    <w:bookmarkStart w:id="21" w:name="cataloging-and-bibliographic-records"/>
    <w:p>
      <w:pPr>
        <w:pStyle w:val="Heading3"/>
      </w:pPr>
      <w:r>
        <w:t xml:space="preserve">1. Cataloging and Bibliographic Records</w:t>
      </w:r>
    </w:p>
    <w:p>
      <w:pPr>
        <w:pStyle w:val="FirstParagraph"/>
      </w:pPr>
      <w:r>
        <w:t xml:space="preserve">The cataloging module provides a comprehensive 71-field bibliographic record based on MARC conventions, covering all standard descriptive, physical, and administrative metadata.</w:t>
      </w:r>
    </w:p>
    <w:p>
      <w:pPr>
        <w:numPr>
          <w:ilvl w:val="0"/>
          <w:numId w:val="1001"/>
        </w:numPr>
        <w:pStyle w:val="Compact"/>
      </w:pPr>
      <w:r>
        <w:rPr>
          <w:bCs/>
          <w:b/>
        </w:rPr>
        <w:t xml:space="preserve">ISBN / ISSN validation</w:t>
      </w:r>
      <w:r>
        <w:t xml:space="preserve"> </w:t>
      </w:r>
      <w:r>
        <w:t xml:space="preserve">with automatic check-digit verification</w:t>
      </w:r>
    </w:p>
    <w:p>
      <w:pPr>
        <w:numPr>
          <w:ilvl w:val="0"/>
          <w:numId w:val="1001"/>
        </w:numPr>
        <w:pStyle w:val="Compact"/>
      </w:pPr>
      <w:r>
        <w:rPr>
          <w:bCs/>
          <w:b/>
        </w:rPr>
        <w:t xml:space="preserve">Call number management</w:t>
      </w:r>
      <w:r>
        <w:t xml:space="preserve"> </w:t>
      </w:r>
      <w:r>
        <w:t xml:space="preserve">supporting Dewey Decimal, Library of Congress Classification (LCC), and Universal Decimal Classification (UDC)</w:t>
      </w:r>
    </w:p>
    <w:p>
      <w:pPr>
        <w:numPr>
          <w:ilvl w:val="0"/>
          <w:numId w:val="1001"/>
        </w:numPr>
        <w:pStyle w:val="Compact"/>
      </w:pPr>
      <w:r>
        <w:rPr>
          <w:bCs/>
          <w:b/>
        </w:rPr>
        <w:t xml:space="preserve">Subject headings</w:t>
      </w:r>
      <w:r>
        <w:t xml:space="preserve"> </w:t>
      </w:r>
      <w:r>
        <w:t xml:space="preserve">with Library of Congress Subject Headings (LCSH) authority linking</w:t>
      </w:r>
    </w:p>
    <w:p>
      <w:pPr>
        <w:numPr>
          <w:ilvl w:val="0"/>
          <w:numId w:val="1001"/>
        </w:numPr>
        <w:pStyle w:val="Compact"/>
      </w:pPr>
      <w:r>
        <w:rPr>
          <w:bCs/>
          <w:b/>
        </w:rPr>
        <w:t xml:space="preserve">Creator and contributor tracking</w:t>
      </w:r>
      <w:r>
        <w:t xml:space="preserve"> </w:t>
      </w:r>
      <w:r>
        <w:t xml:space="preserve">using MARC relator codes (author, editor, illustrator, translator, and more)</w:t>
      </w:r>
    </w:p>
    <w:p>
      <w:pPr>
        <w:numPr>
          <w:ilvl w:val="0"/>
          <w:numId w:val="1001"/>
        </w:numPr>
        <w:pStyle w:val="Compact"/>
      </w:pPr>
      <w:r>
        <w:rPr>
          <w:bCs/>
          <w:b/>
        </w:rPr>
        <w:t xml:space="preserve">WorldCat integration</w:t>
      </w:r>
      <w:r>
        <w:t xml:space="preserve"> </w:t>
      </w:r>
      <w:r>
        <w:t xml:space="preserve">for bibliographic lookup and record enrichment</w:t>
      </w:r>
    </w:p>
    <w:p>
      <w:pPr>
        <w:numPr>
          <w:ilvl w:val="0"/>
          <w:numId w:val="1001"/>
        </w:numPr>
        <w:pStyle w:val="Compact"/>
      </w:pPr>
      <w:r>
        <w:rPr>
          <w:bCs/>
          <w:b/>
        </w:rPr>
        <w:t xml:space="preserve">Book cover retrieval</w:t>
      </w:r>
      <w:r>
        <w:t xml:space="preserve"> </w:t>
      </w:r>
      <w:r>
        <w:t xml:space="preserve">from Open Library and Google Books APIs</w:t>
      </w:r>
    </w:p>
    <w:p>
      <w:pPr>
        <w:numPr>
          <w:ilvl w:val="0"/>
          <w:numId w:val="1001"/>
        </w:numPr>
        <w:pStyle w:val="Compact"/>
      </w:pPr>
      <w:r>
        <w:rPr>
          <w:bCs/>
          <w:b/>
        </w:rPr>
        <w:t xml:space="preserve">Material type classification</w:t>
      </w:r>
      <w:r>
        <w:t xml:space="preserve"> </w:t>
      </w:r>
      <w:r>
        <w:t xml:space="preserve">(monograph, serial, audiovisual, electronic resource, map, manuscript, mixed materials, and others)</w:t>
      </w:r>
    </w:p>
    <w:bookmarkEnd w:id="21"/>
    <w:bookmarkStart w:id="22" w:name="circulation"/>
    <w:p>
      <w:pPr>
        <w:pStyle w:val="Heading3"/>
      </w:pPr>
      <w:r>
        <w:t xml:space="preserve">2. Circulation</w:t>
      </w:r>
    </w:p>
    <w:p>
      <w:pPr>
        <w:pStyle w:val="FirstParagraph"/>
      </w:pPr>
      <w:r>
        <w:t xml:space="preserve">The circulation module handles the full checkout-return-renew lifecycle with support for barcode scanning at a dedicated checkout station.</w:t>
      </w:r>
    </w:p>
    <w:p>
      <w:pPr>
        <w:numPr>
          <w:ilvl w:val="0"/>
          <w:numId w:val="1002"/>
        </w:numPr>
        <w:pStyle w:val="Compact"/>
      </w:pPr>
      <w:r>
        <w:rPr>
          <w:bCs/>
          <w:b/>
        </w:rPr>
        <w:t xml:space="preserve">Checkout, return, and renewal</w:t>
      </w:r>
      <w:r>
        <w:t xml:space="preserve"> </w:t>
      </w:r>
      <w:r>
        <w:t xml:space="preserve">via barcode scan or manual entry</w:t>
      </w:r>
    </w:p>
    <w:p>
      <w:pPr>
        <w:numPr>
          <w:ilvl w:val="0"/>
          <w:numId w:val="1002"/>
        </w:numPr>
        <w:pStyle w:val="Compact"/>
      </w:pPr>
      <w:r>
        <w:rPr>
          <w:bCs/>
          <w:b/>
        </w:rPr>
        <w:t xml:space="preserve">Configurable loan rules</w:t>
      </w:r>
      <w:r>
        <w:t xml:space="preserve"> </w:t>
      </w:r>
      <w:r>
        <w:t xml:space="preserve">per material type and patron type (e.g., 21-day loan for books, 7-day for DVDs, extended loans for staff)</w:t>
      </w:r>
    </w:p>
    <w:p>
      <w:pPr>
        <w:numPr>
          <w:ilvl w:val="0"/>
          <w:numId w:val="1002"/>
        </w:numPr>
        <w:pStyle w:val="Compact"/>
      </w:pPr>
      <w:r>
        <w:rPr>
          <w:bCs/>
          <w:b/>
        </w:rPr>
        <w:t xml:space="preserve">Automatic overdue detection</w:t>
      </w:r>
      <w:r>
        <w:t xml:space="preserve"> </w:t>
      </w:r>
      <w:r>
        <w:t xml:space="preserve">with configurable grace periods</w:t>
      </w:r>
    </w:p>
    <w:p>
      <w:pPr>
        <w:numPr>
          <w:ilvl w:val="0"/>
          <w:numId w:val="1002"/>
        </w:numPr>
        <w:pStyle w:val="Compact"/>
      </w:pPr>
      <w:r>
        <w:rPr>
          <w:bCs/>
          <w:b/>
        </w:rPr>
        <w:t xml:space="preserve">Copy management</w:t>
      </w:r>
      <w:r>
        <w:t xml:space="preserve"> </w:t>
      </w:r>
      <w:r>
        <w:t xml:space="preserve">— add multiple physical copies per title, each with its own barcode, condition grade, and shelving location</w:t>
      </w:r>
    </w:p>
    <w:p>
      <w:pPr>
        <w:numPr>
          <w:ilvl w:val="0"/>
          <w:numId w:val="1002"/>
        </w:numPr>
        <w:pStyle w:val="Compact"/>
      </w:pPr>
      <w:r>
        <w:rPr>
          <w:bCs/>
          <w:b/>
        </w:rPr>
        <w:t xml:space="preserve">Hold queue processing</w:t>
      </w:r>
      <w:r>
        <w:t xml:space="preserve"> </w:t>
      </w:r>
      <w:r>
        <w:t xml:space="preserve">— when an item is returned, the system automatically promotes the next patron in the hold queue and generates a pickup notification</w:t>
      </w:r>
    </w:p>
    <w:p>
      <w:pPr>
        <w:numPr>
          <w:ilvl w:val="0"/>
          <w:numId w:val="1002"/>
        </w:numPr>
        <w:pStyle w:val="Compact"/>
      </w:pPr>
      <w:r>
        <w:rPr>
          <w:bCs/>
          <w:b/>
        </w:rPr>
        <w:t xml:space="preserve">Renewal limits</w:t>
      </w:r>
      <w:r>
        <w:t xml:space="preserve"> </w:t>
      </w:r>
      <w:r>
        <w:t xml:space="preserve">configurable per loan rule</w:t>
      </w:r>
    </w:p>
    <w:bookmarkEnd w:id="22"/>
    <w:bookmarkStart w:id="23" w:name="patron-management"/>
    <w:p>
      <w:pPr>
        <w:pStyle w:val="Heading3"/>
      </w:pPr>
      <w:r>
        <w:t xml:space="preserve">3. Patron Management</w:t>
      </w:r>
    </w:p>
    <w:p>
      <w:pPr>
        <w:pStyle w:val="FirstParagraph"/>
      </w:pPr>
      <w:r>
        <w:t xml:space="preserve">Library patrons are registered and managed with full borrowing-privilege controls, linked to AtoM user accounts where applicable.</w:t>
      </w:r>
    </w:p>
    <w:p>
      <w:pPr>
        <w:numPr>
          <w:ilvl w:val="0"/>
          <w:numId w:val="1003"/>
        </w:numPr>
        <w:pStyle w:val="Compact"/>
      </w:pPr>
      <w:r>
        <w:rPr>
          <w:bCs/>
          <w:b/>
        </w:rPr>
        <w:t xml:space="preserve">Patron registration</w:t>
      </w:r>
      <w:r>
        <w:t xml:space="preserve"> </w:t>
      </w:r>
      <w:r>
        <w:t xml:space="preserve">with unique barcode assignment</w:t>
      </w:r>
    </w:p>
    <w:p>
      <w:pPr>
        <w:numPr>
          <w:ilvl w:val="0"/>
          <w:numId w:val="1003"/>
        </w:numPr>
        <w:pStyle w:val="Compact"/>
      </w:pPr>
      <w:r>
        <w:rPr>
          <w:bCs/>
          <w:b/>
        </w:rPr>
        <w:t xml:space="preserve">Configurable patron types</w:t>
      </w:r>
      <w:r>
        <w:t xml:space="preserve"> </w:t>
      </w:r>
      <w:r>
        <w:t xml:space="preserve">managed via the Dropdown Manager (e.g., student, faculty, community member, staff)</w:t>
      </w:r>
    </w:p>
    <w:p>
      <w:pPr>
        <w:numPr>
          <w:ilvl w:val="0"/>
          <w:numId w:val="1003"/>
        </w:numPr>
        <w:pStyle w:val="Compact"/>
      </w:pPr>
      <w:r>
        <w:rPr>
          <w:bCs/>
          <w:b/>
        </w:rPr>
        <w:t xml:space="preserve">Borrowing limits</w:t>
      </w:r>
      <w:r>
        <w:t xml:space="preserve"> </w:t>
      </w:r>
      <w:r>
        <w:t xml:space="preserve">per patron type (maximum concurrent checkouts, maximum holds)</w:t>
      </w:r>
    </w:p>
    <w:p>
      <w:pPr>
        <w:numPr>
          <w:ilvl w:val="0"/>
          <w:numId w:val="1003"/>
        </w:numPr>
        <w:pStyle w:val="Compact"/>
      </w:pPr>
      <w:r>
        <w:rPr>
          <w:bCs/>
          <w:b/>
        </w:rPr>
        <w:t xml:space="preserve">Account suspension and reactivation</w:t>
      </w:r>
      <w:r>
        <w:t xml:space="preserve"> </w:t>
      </w:r>
      <w:r>
        <w:t xml:space="preserve">with reason tracking</w:t>
      </w:r>
    </w:p>
    <w:p>
      <w:pPr>
        <w:numPr>
          <w:ilvl w:val="0"/>
          <w:numId w:val="1003"/>
        </w:numPr>
        <w:pStyle w:val="Compact"/>
      </w:pPr>
      <w:r>
        <w:rPr>
          <w:bCs/>
          <w:b/>
        </w:rPr>
        <w:t xml:space="preserve">Activity dashboard</w:t>
      </w:r>
      <w:r>
        <w:t xml:space="preserve"> </w:t>
      </w:r>
      <w:r>
        <w:t xml:space="preserve">showing current checkouts, hold requests, outstanding fines, and borrowing history</w:t>
      </w:r>
    </w:p>
    <w:p>
      <w:pPr>
        <w:numPr>
          <w:ilvl w:val="0"/>
          <w:numId w:val="1003"/>
        </w:numPr>
        <w:pStyle w:val="Compact"/>
      </w:pPr>
      <w:r>
        <w:rPr>
          <w:bCs/>
          <w:b/>
        </w:rPr>
        <w:t xml:space="preserve">Integration with AtoM user accounts</w:t>
      </w:r>
      <w:r>
        <w:t xml:space="preserve"> </w:t>
      </w:r>
      <w:r>
        <w:t xml:space="preserve">for seamless authentication</w:t>
      </w:r>
    </w:p>
    <w:bookmarkEnd w:id="23"/>
    <w:bookmarkStart w:id="24" w:name="holds-and-reservations"/>
    <w:p>
      <w:pPr>
        <w:pStyle w:val="Heading3"/>
      </w:pPr>
      <w:r>
        <w:t xml:space="preserve">4. Holds and Reservations</w:t>
      </w:r>
    </w:p>
    <w:p>
      <w:pPr>
        <w:pStyle w:val="FirstParagraph"/>
      </w:pPr>
      <w:r>
        <w:t xml:space="preserve">Patrons can place holds on items that are currently checked out or otherwise unavailable. The hold queue is managed automatically.</w:t>
      </w:r>
    </w:p>
    <w:p>
      <w:pPr>
        <w:numPr>
          <w:ilvl w:val="0"/>
          <w:numId w:val="1004"/>
        </w:numPr>
        <w:pStyle w:val="Compact"/>
      </w:pPr>
      <w:r>
        <w:rPr>
          <w:bCs/>
          <w:b/>
        </w:rPr>
        <w:t xml:space="preserve">Hold placement</w:t>
      </w:r>
      <w:r>
        <w:t xml:space="preserve"> </w:t>
      </w:r>
      <w:r>
        <w:t xml:space="preserve">from the OPAC or staff interface</w:t>
      </w:r>
    </w:p>
    <w:p>
      <w:pPr>
        <w:numPr>
          <w:ilvl w:val="0"/>
          <w:numId w:val="1004"/>
        </w:numPr>
        <w:pStyle w:val="Compact"/>
      </w:pPr>
      <w:r>
        <w:rPr>
          <w:bCs/>
          <w:b/>
        </w:rPr>
        <w:t xml:space="preserve">Automatic queue management</w:t>
      </w:r>
      <w:r>
        <w:t xml:space="preserve"> </w:t>
      </w:r>
      <w:r>
        <w:t xml:space="preserve">— first-come, first-served ordering</w:t>
      </w:r>
    </w:p>
    <w:p>
      <w:pPr>
        <w:numPr>
          <w:ilvl w:val="0"/>
          <w:numId w:val="1004"/>
        </w:numPr>
        <w:pStyle w:val="Compact"/>
      </w:pPr>
      <w:r>
        <w:rPr>
          <w:bCs/>
          <w:b/>
        </w:rPr>
        <w:t xml:space="preserve">Auto-promotion</w:t>
      </w:r>
      <w:r>
        <w:t xml:space="preserve"> </w:t>
      </w:r>
      <w:r>
        <w:t xml:space="preserve">when an item is returned, the next hold in queue is activated</w:t>
      </w:r>
    </w:p>
    <w:p>
      <w:pPr>
        <w:numPr>
          <w:ilvl w:val="0"/>
          <w:numId w:val="1004"/>
        </w:numPr>
        <w:pStyle w:val="Compact"/>
      </w:pPr>
      <w:r>
        <w:rPr>
          <w:bCs/>
          <w:b/>
        </w:rPr>
        <w:t xml:space="preserve">Configurable pickup window</w:t>
      </w:r>
      <w:r>
        <w:t xml:space="preserve"> </w:t>
      </w:r>
      <w:r>
        <w:t xml:space="preserve">(default 7 days) after which uncollected holds expire</w:t>
      </w:r>
    </w:p>
    <w:p>
      <w:pPr>
        <w:numPr>
          <w:ilvl w:val="0"/>
          <w:numId w:val="1004"/>
        </w:numPr>
        <w:pStyle w:val="Compact"/>
      </w:pPr>
      <w:r>
        <w:rPr>
          <w:bCs/>
          <w:b/>
        </w:rPr>
        <w:t xml:space="preserve">Expiry processing</w:t>
      </w:r>
      <w:r>
        <w:t xml:space="preserve"> </w:t>
      </w:r>
      <w:r>
        <w:t xml:space="preserve">with automatic queue advancement</w:t>
      </w:r>
    </w:p>
    <w:p>
      <w:pPr>
        <w:numPr>
          <w:ilvl w:val="0"/>
          <w:numId w:val="1004"/>
        </w:numPr>
        <w:pStyle w:val="Compact"/>
      </w:pPr>
      <w:r>
        <w:rPr>
          <w:bCs/>
          <w:b/>
        </w:rPr>
        <w:t xml:space="preserve">Cancel and fulfill</w:t>
      </w:r>
      <w:r>
        <w:t xml:space="preserve"> </w:t>
      </w:r>
      <w:r>
        <w:t xml:space="preserve">operations for staff</w:t>
      </w:r>
    </w:p>
    <w:bookmarkEnd w:id="24"/>
    <w:bookmarkStart w:id="25" w:name="fines-and-payments"/>
    <w:p>
      <w:pPr>
        <w:pStyle w:val="Heading3"/>
      </w:pPr>
      <w:r>
        <w:t xml:space="preserve">5. Fines and Payments</w:t>
      </w:r>
    </w:p>
    <w:p>
      <w:pPr>
        <w:pStyle w:val="FirstParagraph"/>
      </w:pPr>
      <w:r>
        <w:t xml:space="preserve">The fines module calculates overdue charges automatically and tracks all financial transactions against patron accounts.</w:t>
      </w:r>
    </w:p>
    <w:p>
      <w:pPr>
        <w:numPr>
          <w:ilvl w:val="0"/>
          <w:numId w:val="1005"/>
        </w:numPr>
        <w:pStyle w:val="Compact"/>
      </w:pPr>
      <w:r>
        <w:rPr>
          <w:bCs/>
          <w:b/>
        </w:rPr>
        <w:t xml:space="preserve">Automatic overdue fine calculation</w:t>
      </w:r>
      <w:r>
        <w:t xml:space="preserve"> </w:t>
      </w:r>
      <w:r>
        <w:t xml:space="preserve">based on loan rules (daily rate per material type)</w:t>
      </w:r>
    </w:p>
    <w:p>
      <w:pPr>
        <w:numPr>
          <w:ilvl w:val="0"/>
          <w:numId w:val="1005"/>
        </w:numPr>
        <w:pStyle w:val="Compact"/>
      </w:pPr>
      <w:r>
        <w:rPr>
          <w:bCs/>
          <w:b/>
        </w:rPr>
        <w:t xml:space="preserve">Lost item replacement charges</w:t>
      </w:r>
      <w:r>
        <w:t xml:space="preserve"> </w:t>
      </w:r>
      <w:r>
        <w:t xml:space="preserve">linked to item value</w:t>
      </w:r>
    </w:p>
    <w:p>
      <w:pPr>
        <w:numPr>
          <w:ilvl w:val="0"/>
          <w:numId w:val="1005"/>
        </w:numPr>
        <w:pStyle w:val="Compact"/>
      </w:pPr>
      <w:r>
        <w:rPr>
          <w:bCs/>
          <w:b/>
        </w:rPr>
        <w:t xml:space="preserve">Payment recording</w:t>
      </w:r>
      <w:r>
        <w:t xml:space="preserve"> </w:t>
      </w:r>
      <w:r>
        <w:t xml:space="preserve">supporting cash, card, and electronic transfer</w:t>
      </w:r>
    </w:p>
    <w:p>
      <w:pPr>
        <w:numPr>
          <w:ilvl w:val="0"/>
          <w:numId w:val="1005"/>
        </w:numPr>
        <w:pStyle w:val="Compact"/>
      </w:pPr>
      <w:r>
        <w:rPr>
          <w:bCs/>
          <w:b/>
        </w:rPr>
        <w:t xml:space="preserve">Fine waivers</w:t>
      </w:r>
      <w:r>
        <w:t xml:space="preserve"> </w:t>
      </w:r>
      <w:r>
        <w:t xml:space="preserve">with mandatory reason tracking for audit compliance</w:t>
      </w:r>
    </w:p>
    <w:p>
      <w:pPr>
        <w:numPr>
          <w:ilvl w:val="0"/>
          <w:numId w:val="1005"/>
        </w:numPr>
        <w:pStyle w:val="Compact"/>
      </w:pPr>
      <w:r>
        <w:rPr>
          <w:bCs/>
          <w:b/>
        </w:rPr>
        <w:t xml:space="preserve">Configurable fine thresholds</w:t>
      </w:r>
      <w:r>
        <w:t xml:space="preserve"> </w:t>
      </w:r>
      <w:r>
        <w:t xml:space="preserve">— block borrowing when balance exceeds a set limit</w:t>
      </w:r>
    </w:p>
    <w:p>
      <w:pPr>
        <w:numPr>
          <w:ilvl w:val="0"/>
          <w:numId w:val="1005"/>
        </w:numPr>
        <w:pStyle w:val="Compact"/>
      </w:pPr>
      <w:r>
        <w:rPr>
          <w:bCs/>
          <w:b/>
        </w:rPr>
        <w:t xml:space="preserve">Patron balance display</w:t>
      </w:r>
      <w:r>
        <w:t xml:space="preserve"> </w:t>
      </w:r>
      <w:r>
        <w:t xml:space="preserve">on checkout and in the patron dashboard</w:t>
      </w:r>
    </w:p>
    <w:bookmarkEnd w:id="25"/>
    <w:bookmarkStart w:id="26" w:name="online-public-access-catalog-opac"/>
    <w:p>
      <w:pPr>
        <w:pStyle w:val="Heading3"/>
      </w:pPr>
      <w:r>
        <w:t xml:space="preserve">6. Online Public Access Catalog (OPAC)</w:t>
      </w:r>
    </w:p>
    <w:p>
      <w:pPr>
        <w:pStyle w:val="FirstParagraph"/>
      </w:pPr>
      <w:r>
        <w:t xml:space="preserve">The OPAC provides a public-facing search interface for library users, with self-service capabilities for registered patrons.</w:t>
      </w:r>
    </w:p>
    <w:p>
      <w:pPr>
        <w:numPr>
          <w:ilvl w:val="0"/>
          <w:numId w:val="1006"/>
        </w:numPr>
        <w:pStyle w:val="Compact"/>
      </w:pPr>
      <w:r>
        <w:rPr>
          <w:bCs/>
          <w:b/>
        </w:rPr>
        <w:t xml:space="preserve">Multi-field search</w:t>
      </w:r>
      <w:r>
        <w:t xml:space="preserve"> </w:t>
      </w:r>
      <w:r>
        <w:t xml:space="preserve">across keyword, title, author, subject, ISBN, and call number</w:t>
      </w:r>
    </w:p>
    <w:p>
      <w:pPr>
        <w:numPr>
          <w:ilvl w:val="0"/>
          <w:numId w:val="1006"/>
        </w:numPr>
        <w:pStyle w:val="Compact"/>
      </w:pPr>
      <w:r>
        <w:rPr>
          <w:bCs/>
          <w:b/>
        </w:rPr>
        <w:t xml:space="preserve">Faceted filtering</w:t>
      </w:r>
      <w:r>
        <w:t xml:space="preserve"> </w:t>
      </w:r>
      <w:r>
        <w:t xml:space="preserve">by material type, publication year, language, and availability status</w:t>
      </w:r>
    </w:p>
    <w:p>
      <w:pPr>
        <w:numPr>
          <w:ilvl w:val="0"/>
          <w:numId w:val="1006"/>
        </w:numPr>
        <w:pStyle w:val="Compact"/>
      </w:pPr>
      <w:r>
        <w:rPr>
          <w:bCs/>
          <w:b/>
        </w:rPr>
        <w:t xml:space="preserve">Real-time availability display</w:t>
      </w:r>
      <w:r>
        <w:t xml:space="preserve"> </w:t>
      </w:r>
      <w:r>
        <w:t xml:space="preserve">showing copy count and current checkout status</w:t>
      </w:r>
    </w:p>
    <w:p>
      <w:pPr>
        <w:numPr>
          <w:ilvl w:val="0"/>
          <w:numId w:val="1006"/>
        </w:numPr>
        <w:pStyle w:val="Compact"/>
      </w:pPr>
      <w:r>
        <w:rPr>
          <w:bCs/>
          <w:b/>
        </w:rPr>
        <w:t xml:space="preserve">New arrivals</w:t>
      </w:r>
      <w:r>
        <w:t xml:space="preserve"> </w:t>
      </w:r>
      <w:r>
        <w:t xml:space="preserve">and</w:t>
      </w:r>
      <w:r>
        <w:t xml:space="preserve"> </w:t>
      </w:r>
      <w:r>
        <w:rPr>
          <w:bCs/>
          <w:b/>
        </w:rPr>
        <w:t xml:space="preserve">popular items</w:t>
      </w:r>
      <w:r>
        <w:t xml:space="preserve"> </w:t>
      </w:r>
      <w:r>
        <w:t xml:space="preserve">sections</w:t>
      </w:r>
    </w:p>
    <w:p>
      <w:pPr>
        <w:numPr>
          <w:ilvl w:val="0"/>
          <w:numId w:val="1006"/>
        </w:numPr>
        <w:pStyle w:val="Compact"/>
      </w:pPr>
      <w:r>
        <w:rPr>
          <w:bCs/>
          <w:b/>
        </w:rPr>
        <w:t xml:space="preserve">Patron self-service (My Account)</w:t>
      </w:r>
      <w:r>
        <w:t xml:space="preserve"> </w:t>
      </w:r>
      <w:r>
        <w:t xml:space="preserve">— view current loans, renewal, hold placement, fine balance, and borrowing history</w:t>
      </w:r>
    </w:p>
    <w:p>
      <w:pPr>
        <w:numPr>
          <w:ilvl w:val="0"/>
          <w:numId w:val="1006"/>
        </w:numPr>
        <w:pStyle w:val="Compact"/>
      </w:pPr>
      <w:r>
        <w:rPr>
          <w:bCs/>
          <w:b/>
        </w:rPr>
        <w:t xml:space="preserve">Responsive design</w:t>
      </w:r>
      <w:r>
        <w:t xml:space="preserve"> </w:t>
      </w:r>
      <w:r>
        <w:t xml:space="preserve">for desktop and mobile access</w:t>
      </w:r>
    </w:p>
    <w:bookmarkEnd w:id="26"/>
    <w:bookmarkStart w:id="27" w:name="acquisitions"/>
    <w:p>
      <w:pPr>
        <w:pStyle w:val="Heading3"/>
      </w:pPr>
      <w:r>
        <w:t xml:space="preserve">7. Acquisitions</w:t>
      </w:r>
    </w:p>
    <w:p>
      <w:pPr>
        <w:pStyle w:val="FirstParagraph"/>
      </w:pPr>
      <w:r>
        <w:t xml:space="preserve">The acquisitions module manages the purchasing workflow from order placement through receiving and budget tracking.</w:t>
      </w:r>
    </w:p>
    <w:p>
      <w:pPr>
        <w:numPr>
          <w:ilvl w:val="0"/>
          <w:numId w:val="1007"/>
        </w:numPr>
        <w:pStyle w:val="Compact"/>
      </w:pPr>
      <w:r>
        <w:rPr>
          <w:bCs/>
          <w:b/>
        </w:rPr>
        <w:t xml:space="preserve">Purchase orders</w:t>
      </w:r>
      <w:r>
        <w:t xml:space="preserve"> </w:t>
      </w:r>
      <w:r>
        <w:t xml:space="preserve">with multiple order lines per vendor</w:t>
      </w:r>
    </w:p>
    <w:p>
      <w:pPr>
        <w:numPr>
          <w:ilvl w:val="0"/>
          <w:numId w:val="1007"/>
        </w:numPr>
        <w:pStyle w:val="Compact"/>
      </w:pPr>
      <w:r>
        <w:rPr>
          <w:bCs/>
          <w:b/>
        </w:rPr>
        <w:t xml:space="preserve">Vendor management</w:t>
      </w:r>
      <w:r>
        <w:t xml:space="preserve"> </w:t>
      </w:r>
      <w:r>
        <w:t xml:space="preserve">with contact details and performance tracking</w:t>
      </w:r>
    </w:p>
    <w:p>
      <w:pPr>
        <w:numPr>
          <w:ilvl w:val="0"/>
          <w:numId w:val="1007"/>
        </w:numPr>
        <w:pStyle w:val="Compact"/>
      </w:pPr>
      <w:r>
        <w:rPr>
          <w:bCs/>
          <w:b/>
        </w:rPr>
        <w:t xml:space="preserve">Receiving workflow</w:t>
      </w:r>
      <w:r>
        <w:t xml:space="preserve"> </w:t>
      </w:r>
      <w:r>
        <w:t xml:space="preserve">supporting partial and full receipt</w:t>
      </w:r>
    </w:p>
    <w:p>
      <w:pPr>
        <w:numPr>
          <w:ilvl w:val="0"/>
          <w:numId w:val="1007"/>
        </w:numPr>
        <w:pStyle w:val="Compact"/>
      </w:pPr>
      <w:r>
        <w:rPr>
          <w:bCs/>
          <w:b/>
        </w:rPr>
        <w:t xml:space="preserve">Budget management</w:t>
      </w:r>
      <w:r>
        <w:t xml:space="preserve"> </w:t>
      </w:r>
      <w:r>
        <w:t xml:space="preserve">with fiscal year tracking and allocation per fund</w:t>
      </w:r>
    </w:p>
    <w:p>
      <w:pPr>
        <w:numPr>
          <w:ilvl w:val="0"/>
          <w:numId w:val="1007"/>
        </w:numPr>
        <w:pStyle w:val="Compact"/>
      </w:pPr>
      <w:r>
        <w:rPr>
          <w:bCs/>
          <w:b/>
        </w:rPr>
        <w:t xml:space="preserve">Expenditure recording</w:t>
      </w:r>
      <w:r>
        <w:t xml:space="preserve"> </w:t>
      </w:r>
      <w:r>
        <w:t xml:space="preserve">linked to purchase orders</w:t>
      </w:r>
    </w:p>
    <w:p>
      <w:pPr>
        <w:numPr>
          <w:ilvl w:val="0"/>
          <w:numId w:val="1007"/>
        </w:numPr>
        <w:pStyle w:val="Compact"/>
      </w:pPr>
      <w:r>
        <w:rPr>
          <w:bCs/>
          <w:b/>
        </w:rPr>
        <w:t xml:space="preserve">Automatic order number generation</w:t>
      </w:r>
      <w:r>
        <w:t xml:space="preserve"> </w:t>
      </w:r>
      <w:r>
        <w:t xml:space="preserve">with configurable prefix</w:t>
      </w:r>
    </w:p>
    <w:bookmarkEnd w:id="27"/>
    <w:bookmarkStart w:id="28" w:name="serial-control"/>
    <w:p>
      <w:pPr>
        <w:pStyle w:val="Heading3"/>
      </w:pPr>
      <w:r>
        <w:t xml:space="preserve">8. Serial Control</w:t>
      </w:r>
    </w:p>
    <w:p>
      <w:pPr>
        <w:pStyle w:val="FirstParagraph"/>
      </w:pPr>
      <w:r>
        <w:t xml:space="preserve">The serial control module manages periodical subscriptions, issue tracking, and gap analysis.</w:t>
      </w:r>
    </w:p>
    <w:p>
      <w:pPr>
        <w:numPr>
          <w:ilvl w:val="0"/>
          <w:numId w:val="1008"/>
        </w:numPr>
        <w:pStyle w:val="Compact"/>
      </w:pPr>
      <w:r>
        <w:rPr>
          <w:bCs/>
          <w:b/>
        </w:rPr>
        <w:t xml:space="preserve">Subscription management</w:t>
      </w:r>
      <w:r>
        <w:t xml:space="preserve"> </w:t>
      </w:r>
      <w:r>
        <w:t xml:space="preserve">with start/end dates, frequency, and vendor</w:t>
      </w:r>
    </w:p>
    <w:p>
      <w:pPr>
        <w:numPr>
          <w:ilvl w:val="0"/>
          <w:numId w:val="1008"/>
        </w:numPr>
        <w:pStyle w:val="Compact"/>
      </w:pPr>
      <w:r>
        <w:rPr>
          <w:bCs/>
          <w:b/>
        </w:rPr>
        <w:t xml:space="preserve">Issue check-in</w:t>
      </w:r>
      <w:r>
        <w:t xml:space="preserve"> </w:t>
      </w:r>
      <w:r>
        <w:t xml:space="preserve">with barcode and expected-date matching</w:t>
      </w:r>
    </w:p>
    <w:p>
      <w:pPr>
        <w:numPr>
          <w:ilvl w:val="0"/>
          <w:numId w:val="1008"/>
        </w:numPr>
        <w:pStyle w:val="Compact"/>
      </w:pPr>
      <w:r>
        <w:rPr>
          <w:bCs/>
          <w:b/>
        </w:rPr>
        <w:t xml:space="preserve">Expected issue generation</w:t>
      </w:r>
      <w:r>
        <w:t xml:space="preserve"> </w:t>
      </w:r>
      <w:r>
        <w:t xml:space="preserve">based on subscription frequency</w:t>
      </w:r>
    </w:p>
    <w:p>
      <w:pPr>
        <w:numPr>
          <w:ilvl w:val="0"/>
          <w:numId w:val="1008"/>
        </w:numPr>
        <w:pStyle w:val="Compact"/>
      </w:pPr>
      <w:r>
        <w:rPr>
          <w:bCs/>
          <w:b/>
        </w:rPr>
        <w:t xml:space="preserve">Gap analysis</w:t>
      </w:r>
      <w:r>
        <w:t xml:space="preserve"> </w:t>
      </w:r>
      <w:r>
        <w:t xml:space="preserve">identifying missing issues across subscriptions</w:t>
      </w:r>
    </w:p>
    <w:p>
      <w:pPr>
        <w:numPr>
          <w:ilvl w:val="0"/>
          <w:numId w:val="1008"/>
        </w:numPr>
        <w:pStyle w:val="Compact"/>
      </w:pPr>
      <w:r>
        <w:rPr>
          <w:bCs/>
          <w:b/>
        </w:rPr>
        <w:t xml:space="preserve">Claim tracking</w:t>
      </w:r>
      <w:r>
        <w:t xml:space="preserve"> </w:t>
      </w:r>
      <w:r>
        <w:t xml:space="preserve">for unreceived issues</w:t>
      </w:r>
    </w:p>
    <w:p>
      <w:pPr>
        <w:numPr>
          <w:ilvl w:val="0"/>
          <w:numId w:val="1008"/>
        </w:numPr>
        <w:pStyle w:val="Compact"/>
      </w:pPr>
      <w:r>
        <w:rPr>
          <w:bCs/>
          <w:b/>
        </w:rPr>
        <w:t xml:space="preserve">Renewal alerts</w:t>
      </w:r>
      <w:r>
        <w:t xml:space="preserve"> </w:t>
      </w:r>
      <w:r>
        <w:t xml:space="preserve">with configurable lead time</w:t>
      </w:r>
    </w:p>
    <w:p>
      <w:pPr>
        <w:numPr>
          <w:ilvl w:val="0"/>
          <w:numId w:val="1008"/>
        </w:numPr>
        <w:pStyle w:val="Compact"/>
      </w:pPr>
      <w:r>
        <w:rPr>
          <w:bCs/>
          <w:b/>
        </w:rPr>
        <w:t xml:space="preserve">Frequency support</w:t>
      </w:r>
      <w:r>
        <w:t xml:space="preserve"> </w:t>
      </w:r>
      <w:r>
        <w:t xml:space="preserve">from daily through biennial (daily, weekly, biweekly, monthly, bimonthly, quarterly, semiannual, annual, biennial)</w:t>
      </w:r>
    </w:p>
    <w:bookmarkEnd w:id="28"/>
    <w:bookmarkStart w:id="29" w:name="interlibrary-loan-ill"/>
    <w:p>
      <w:pPr>
        <w:pStyle w:val="Heading3"/>
      </w:pPr>
      <w:r>
        <w:t xml:space="preserve">9. Interlibrary Loan (ILL)</w:t>
      </w:r>
    </w:p>
    <w:p>
      <w:pPr>
        <w:pStyle w:val="FirstParagraph"/>
      </w:pPr>
      <w:r>
        <w:t xml:space="preserve">The ILL module facilitates both borrowing and lending between institutions.</w:t>
      </w:r>
    </w:p>
    <w:p>
      <w:pPr>
        <w:numPr>
          <w:ilvl w:val="0"/>
          <w:numId w:val="1009"/>
        </w:numPr>
        <w:pStyle w:val="Compact"/>
      </w:pPr>
      <w:r>
        <w:rPr>
          <w:bCs/>
          <w:b/>
        </w:rPr>
        <w:t xml:space="preserve">Borrowing requests</w:t>
      </w:r>
      <w:r>
        <w:t xml:space="preserve"> </w:t>
      </w:r>
      <w:r>
        <w:t xml:space="preserve">— request items from partner libraries on behalf of patrons</w:t>
      </w:r>
    </w:p>
    <w:p>
      <w:pPr>
        <w:numPr>
          <w:ilvl w:val="0"/>
          <w:numId w:val="1009"/>
        </w:numPr>
        <w:pStyle w:val="Compact"/>
      </w:pPr>
      <w:r>
        <w:rPr>
          <w:bCs/>
          <w:b/>
        </w:rPr>
        <w:t xml:space="preserve">Lending requests</w:t>
      </w:r>
      <w:r>
        <w:t xml:space="preserve"> </w:t>
      </w:r>
      <w:r>
        <w:t xml:space="preserve">— process incoming requests from other institutions</w:t>
      </w:r>
    </w:p>
    <w:p>
      <w:pPr>
        <w:numPr>
          <w:ilvl w:val="0"/>
          <w:numId w:val="1009"/>
        </w:numPr>
        <w:pStyle w:val="Compact"/>
      </w:pPr>
      <w:r>
        <w:rPr>
          <w:bCs/>
          <w:b/>
        </w:rPr>
        <w:t xml:space="preserve">Status workflow:</w:t>
      </w:r>
      <w:r>
        <w:t xml:space="preserve"> </w:t>
      </w:r>
      <w:r>
        <w:t xml:space="preserve">Submitted, Approved, Sent, Received, Returned, Cancelled</w:t>
      </w:r>
    </w:p>
    <w:p>
      <w:pPr>
        <w:numPr>
          <w:ilvl w:val="0"/>
          <w:numId w:val="1009"/>
        </w:numPr>
        <w:pStyle w:val="Compact"/>
      </w:pPr>
      <w:r>
        <w:rPr>
          <w:bCs/>
          <w:b/>
        </w:rPr>
        <w:t xml:space="preserve">Overdue tracking</w:t>
      </w:r>
      <w:r>
        <w:t xml:space="preserve"> </w:t>
      </w:r>
      <w:r>
        <w:t xml:space="preserve">for borrowed items with configurable due dates</w:t>
      </w:r>
    </w:p>
    <w:p>
      <w:pPr>
        <w:numPr>
          <w:ilvl w:val="0"/>
          <w:numId w:val="1009"/>
        </w:numPr>
        <w:pStyle w:val="Compact"/>
      </w:pPr>
      <w:r>
        <w:rPr>
          <w:bCs/>
          <w:b/>
        </w:rPr>
        <w:t xml:space="preserve">Patron-linked requests</w:t>
      </w:r>
      <w:r>
        <w:t xml:space="preserve"> </w:t>
      </w:r>
      <w:r>
        <w:t xml:space="preserve">with notification on status changes</w:t>
      </w:r>
    </w:p>
    <w:p>
      <w:pPr>
        <w:numPr>
          <w:ilvl w:val="0"/>
          <w:numId w:val="1009"/>
        </w:numPr>
        <w:pStyle w:val="Compact"/>
      </w:pPr>
      <w:r>
        <w:rPr>
          <w:bCs/>
          <w:b/>
        </w:rPr>
        <w:t xml:space="preserve">Request history</w:t>
      </w:r>
      <w:r>
        <w:t xml:space="preserve"> </w:t>
      </w:r>
      <w:r>
        <w:t xml:space="preserve">for reporting and analysis</w:t>
      </w:r>
    </w:p>
    <w:bookmarkEnd w:id="29"/>
    <w:bookmarkStart w:id="30" w:name="marc-21-importexport"/>
    <w:p>
      <w:pPr>
        <w:pStyle w:val="Heading3"/>
      </w:pPr>
      <w:r>
        <w:t xml:space="preserve">10. MARC 21 Import/Export</w:t>
      </w:r>
    </w:p>
    <w:p>
      <w:pPr>
        <w:pStyle w:val="FirstParagraph"/>
      </w:pPr>
      <w:r>
        <w:t xml:space="preserve">Full MARC 21 support enables interoperability with other library systems and union catalogs.</w:t>
      </w:r>
    </w:p>
    <w:p>
      <w:pPr>
        <w:numPr>
          <w:ilvl w:val="0"/>
          <w:numId w:val="1010"/>
        </w:numPr>
        <w:pStyle w:val="Compact"/>
      </w:pPr>
      <w:r>
        <w:rPr>
          <w:bCs/>
          <w:b/>
        </w:rPr>
        <w:t xml:space="preserve">MarcXML import</w:t>
      </w:r>
      <w:r>
        <w:t xml:space="preserve"> </w:t>
      </w:r>
      <w:r>
        <w:t xml:space="preserve">with automatic field mapping to the 71-field schema</w:t>
      </w:r>
    </w:p>
    <w:p>
      <w:pPr>
        <w:numPr>
          <w:ilvl w:val="0"/>
          <w:numId w:val="1010"/>
        </w:numPr>
        <w:pStyle w:val="Compact"/>
      </w:pPr>
      <w:r>
        <w:rPr>
          <w:bCs/>
          <w:b/>
        </w:rPr>
        <w:t xml:space="preserve">Leader analysis</w:t>
      </w:r>
      <w:r>
        <w:t xml:space="preserve"> </w:t>
      </w:r>
      <w:r>
        <w:t xml:space="preserve">for material type detection</w:t>
      </w:r>
    </w:p>
    <w:p>
      <w:pPr>
        <w:numPr>
          <w:ilvl w:val="0"/>
          <w:numId w:val="1010"/>
        </w:numPr>
        <w:pStyle w:val="Compact"/>
      </w:pPr>
      <w:r>
        <w:rPr>
          <w:bCs/>
          <w:b/>
        </w:rPr>
        <w:t xml:space="preserve">Subject source detection</w:t>
      </w:r>
      <w:r>
        <w:t xml:space="preserve"> </w:t>
      </w:r>
      <w:r>
        <w:t xml:space="preserve">recognizing LCSH, MeSH, AAT, and FAST vocabularies</w:t>
      </w:r>
    </w:p>
    <w:p>
      <w:pPr>
        <w:numPr>
          <w:ilvl w:val="0"/>
          <w:numId w:val="1010"/>
        </w:numPr>
        <w:pStyle w:val="Compact"/>
      </w:pPr>
      <w:r>
        <w:rPr>
          <w:bCs/>
          <w:b/>
        </w:rPr>
        <w:t xml:space="preserve">MarcXML export</w:t>
      </w:r>
      <w:r>
        <w:t xml:space="preserve"> </w:t>
      </w:r>
      <w:r>
        <w:t xml:space="preserve">with complete MARC field generation from cataloging data</w:t>
      </w:r>
    </w:p>
    <w:p>
      <w:pPr>
        <w:numPr>
          <w:ilvl w:val="0"/>
          <w:numId w:val="1010"/>
        </w:numPr>
        <w:pStyle w:val="Compact"/>
      </w:pPr>
      <w:r>
        <w:rPr>
          <w:bCs/>
          <w:b/>
        </w:rPr>
        <w:t xml:space="preserve">ISBN deduplication on import</w:t>
      </w:r>
      <w:r>
        <w:t xml:space="preserve"> </w:t>
      </w:r>
      <w:r>
        <w:t xml:space="preserve">to prevent duplicate records</w:t>
      </w:r>
    </w:p>
    <w:p>
      <w:pPr>
        <w:numPr>
          <w:ilvl w:val="0"/>
          <w:numId w:val="1010"/>
        </w:numPr>
        <w:pStyle w:val="Compact"/>
      </w:pPr>
      <w:r>
        <w:rPr>
          <w:bCs/>
          <w:b/>
        </w:rPr>
        <w:t xml:space="preserve">Batch import</w:t>
      </w:r>
      <w:r>
        <w:t xml:space="preserve"> </w:t>
      </w:r>
      <w:r>
        <w:t xml:space="preserve">for large-scale migrations from legacy systems</w:t>
      </w:r>
    </w:p>
    <w:bookmarkEnd w:id="30"/>
    <w:bookmarkStart w:id="31" w:name="heritage-accounting-integration"/>
    <w:p>
      <w:pPr>
        <w:pStyle w:val="Heading3"/>
      </w:pPr>
      <w:r>
        <w:t xml:space="preserve">11. Heritage Accounting Integration</w:t>
      </w:r>
    </w:p>
    <w:p>
      <w:pPr>
        <w:pStyle w:val="FirstParagraph"/>
      </w:pPr>
      <w:r>
        <w:t xml:space="preserve">For institutions required to report on heritage assets, the plugin includes 18 heritage accounting columns on every library item, aligned with South African GRAP 103 and the international IPSAS 45 standard.</w:t>
      </w:r>
    </w:p>
    <w:p>
      <w:pPr>
        <w:numPr>
          <w:ilvl w:val="0"/>
          <w:numId w:val="1011"/>
        </w:numPr>
        <w:pStyle w:val="Compact"/>
      </w:pPr>
      <w:r>
        <w:rPr>
          <w:bCs/>
          <w:b/>
        </w:rPr>
        <w:t xml:space="preserve">Acquisition method and cost</w:t>
      </w:r>
      <w:r>
        <w:t xml:space="preserve"> </w:t>
      </w:r>
      <w:r>
        <w:t xml:space="preserve">recording</w:t>
      </w:r>
    </w:p>
    <w:p>
      <w:pPr>
        <w:numPr>
          <w:ilvl w:val="0"/>
          <w:numId w:val="1011"/>
        </w:numPr>
        <w:pStyle w:val="Compact"/>
      </w:pPr>
      <w:r>
        <w:rPr>
          <w:bCs/>
          <w:b/>
        </w:rPr>
        <w:t xml:space="preserve">Insurance value</w:t>
      </w:r>
      <w:r>
        <w:t xml:space="preserve"> </w:t>
      </w:r>
      <w:r>
        <w:t xml:space="preserve">and</w:t>
      </w:r>
      <w:r>
        <w:t xml:space="preserve"> </w:t>
      </w:r>
      <w:r>
        <w:rPr>
          <w:bCs/>
          <w:b/>
        </w:rPr>
        <w:t xml:space="preserve">replacement value</w:t>
      </w:r>
      <w:r>
        <w:t xml:space="preserve"> </w:t>
      </w:r>
      <w:r>
        <w:t xml:space="preserve">tracking</w:t>
      </w:r>
    </w:p>
    <w:p>
      <w:pPr>
        <w:numPr>
          <w:ilvl w:val="0"/>
          <w:numId w:val="1011"/>
        </w:numPr>
        <w:pStyle w:val="Compact"/>
      </w:pPr>
      <w:r>
        <w:rPr>
          <w:bCs/>
          <w:b/>
        </w:rPr>
        <w:t xml:space="preserve">Recognition status</w:t>
      </w:r>
      <w:r>
        <w:t xml:space="preserve"> </w:t>
      </w:r>
      <w:r>
        <w:t xml:space="preserve">(recognized, not recognized, pending)</w:t>
      </w:r>
    </w:p>
    <w:p>
      <w:pPr>
        <w:numPr>
          <w:ilvl w:val="0"/>
          <w:numId w:val="1011"/>
        </w:numPr>
        <w:pStyle w:val="Compact"/>
      </w:pPr>
      <w:r>
        <w:rPr>
          <w:bCs/>
          <w:b/>
        </w:rPr>
        <w:t xml:space="preserve">Condition grade</w:t>
      </w:r>
      <w:r>
        <w:t xml:space="preserve"> </w:t>
      </w:r>
      <w:r>
        <w:t xml:space="preserve">assessment</w:t>
      </w:r>
    </w:p>
    <w:p>
      <w:pPr>
        <w:numPr>
          <w:ilvl w:val="0"/>
          <w:numId w:val="1011"/>
        </w:numPr>
        <w:pStyle w:val="Compact"/>
      </w:pPr>
      <w:r>
        <w:rPr>
          <w:bCs/>
          <w:b/>
        </w:rPr>
        <w:t xml:space="preserve">Conservation priority</w:t>
      </w:r>
      <w:r>
        <w:t xml:space="preserve"> </w:t>
      </w:r>
      <w:r>
        <w:t xml:space="preserve">classification</w:t>
      </w:r>
    </w:p>
    <w:p>
      <w:pPr>
        <w:numPr>
          <w:ilvl w:val="0"/>
          <w:numId w:val="1011"/>
        </w:numPr>
        <w:pStyle w:val="Compact"/>
      </w:pPr>
      <w:r>
        <w:rPr>
          <w:bCs/>
          <w:b/>
        </w:rPr>
        <w:t xml:space="preserve">Valuation date</w:t>
      </w:r>
      <w:r>
        <w:t xml:space="preserve"> </w:t>
      </w:r>
      <w:r>
        <w:t xml:space="preserve">and</w:t>
      </w:r>
      <w:r>
        <w:t xml:space="preserve"> </w:t>
      </w:r>
      <w:r>
        <w:rPr>
          <w:bCs/>
          <w:b/>
        </w:rPr>
        <w:t xml:space="preserve">revaluation tracking</w:t>
      </w:r>
    </w:p>
    <w:p>
      <w:pPr>
        <w:numPr>
          <w:ilvl w:val="0"/>
          <w:numId w:val="1011"/>
        </w:numPr>
        <w:pStyle w:val="Compact"/>
      </w:pPr>
      <w:r>
        <w:rPr>
          <w:bCs/>
          <w:b/>
        </w:rPr>
        <w:t xml:space="preserve">Disposal and deaccession</w:t>
      </w:r>
      <w:r>
        <w:t xml:space="preserve"> </w:t>
      </w:r>
      <w:r>
        <w:t xml:space="preserve">recording</w:t>
      </w:r>
    </w:p>
    <w:p>
      <w:pPr>
        <w:numPr>
          <w:ilvl w:val="0"/>
          <w:numId w:val="1011"/>
        </w:numPr>
        <w:pStyle w:val="Compact"/>
      </w:pPr>
      <w:r>
        <w:rPr>
          <w:bCs/>
          <w:b/>
        </w:rPr>
        <w:t xml:space="preserve">Full integration</w:t>
      </w:r>
      <w:r>
        <w:t xml:space="preserve"> </w:t>
      </w:r>
      <w:r>
        <w:t xml:space="preserve">with ahgHeritageAccountingPlugin for consolidated heritage asset reporting</w:t>
      </w:r>
    </w:p>
    <w:bookmarkEnd w:id="31"/>
    <w:bookmarkStart w:id="32" w:name="dropdown-driven-configuration"/>
    <w:p>
      <w:pPr>
        <w:pStyle w:val="Heading3"/>
      </w:pPr>
      <w:r>
        <w:t xml:space="preserve">12. Dropdown-Driven Configuration</w:t>
      </w:r>
    </w:p>
    <w:p>
      <w:pPr>
        <w:pStyle w:val="FirstParagraph"/>
      </w:pPr>
      <w:r>
        <w:t xml:space="preserve">All status values, types, and categories throughout the library system are managed via the Dropdown Manager in the administration interface. No code changes are required to customize vocabularies.</w:t>
      </w:r>
    </w:p>
    <w:p>
      <w:pPr>
        <w:pStyle w:val="BodyText"/>
      </w:pPr>
      <w:r>
        <w:rPr>
          <w:bCs/>
          <w:b/>
        </w:rPr>
        <w:t xml:space="preserve">14 library-specific dropdown taxonomies: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Taxonomy</w:t>
            </w:r>
          </w:p>
        </w:tc>
        <w:tc>
          <w:tcPr/>
          <w:p>
            <w:pPr>
              <w:pStyle w:val="Compact"/>
              <w:jc w:val="left"/>
            </w:pPr>
            <w:r>
              <w:t xml:space="preserve">Examples</w:t>
            </w:r>
          </w:p>
        </w:tc>
      </w:tr>
      <w:tr>
        <w:tc>
          <w:tcPr/>
          <w:p>
            <w:pPr>
              <w:pStyle w:val="Compact"/>
              <w:jc w:val="left"/>
            </w:pPr>
            <w:r>
              <w:t xml:space="preserve">Material Type</w:t>
            </w:r>
          </w:p>
        </w:tc>
        <w:tc>
          <w:tcPr/>
          <w:p>
            <w:pPr>
              <w:pStyle w:val="Compact"/>
              <w:jc w:val="left"/>
            </w:pPr>
            <w:r>
              <w:t xml:space="preserve">Monograph, Serial, Audiovisual, Electronic Resource</w:t>
            </w:r>
          </w:p>
        </w:tc>
      </w:tr>
      <w:tr>
        <w:tc>
          <w:tcPr/>
          <w:p>
            <w:pPr>
              <w:pStyle w:val="Compact"/>
              <w:jc w:val="left"/>
            </w:pPr>
            <w:r>
              <w:t xml:space="preserve">Patron Type</w:t>
            </w:r>
          </w:p>
        </w:tc>
        <w:tc>
          <w:tcPr/>
          <w:p>
            <w:pPr>
              <w:pStyle w:val="Compact"/>
              <w:jc w:val="left"/>
            </w:pPr>
            <w:r>
              <w:t xml:space="preserve">Student, Faculty, Staff, Community Member</w:t>
            </w:r>
          </w:p>
        </w:tc>
      </w:tr>
      <w:tr>
        <w:tc>
          <w:tcPr/>
          <w:p>
            <w:pPr>
              <w:pStyle w:val="Compact"/>
              <w:jc w:val="left"/>
            </w:pPr>
            <w:r>
              <w:t xml:space="preserve">Copy Condition</w:t>
            </w:r>
          </w:p>
        </w:tc>
        <w:tc>
          <w:tcPr/>
          <w:p>
            <w:pPr>
              <w:pStyle w:val="Compact"/>
              <w:jc w:val="left"/>
            </w:pPr>
            <w:r>
              <w:t xml:space="preserve">New, Good, Fair, Poor, Damaged</w:t>
            </w:r>
          </w:p>
        </w:tc>
      </w:tr>
      <w:tr>
        <w:tc>
          <w:tcPr/>
          <w:p>
            <w:pPr>
              <w:pStyle w:val="Compact"/>
              <w:jc w:val="left"/>
            </w:pPr>
            <w:r>
              <w:t xml:space="preserve">Copy Status</w:t>
            </w:r>
          </w:p>
        </w:tc>
        <w:tc>
          <w:tcPr/>
          <w:p>
            <w:pPr>
              <w:pStyle w:val="Compact"/>
              <w:jc w:val="left"/>
            </w:pPr>
            <w:r>
              <w:t xml:space="preserve">Available, Checked Out, On Hold, In Processing</w:t>
            </w:r>
          </w:p>
        </w:tc>
      </w:tr>
      <w:tr>
        <w:tc>
          <w:tcPr/>
          <w:p>
            <w:pPr>
              <w:pStyle w:val="Compact"/>
              <w:jc w:val="left"/>
            </w:pPr>
            <w:r>
              <w:t xml:space="preserve">Checkout Status</w:t>
            </w:r>
          </w:p>
        </w:tc>
        <w:tc>
          <w:tcPr/>
          <w:p>
            <w:pPr>
              <w:pStyle w:val="Compact"/>
              <w:jc w:val="left"/>
            </w:pPr>
            <w:r>
              <w:t xml:space="preserve">Active, Returned, Overdue, Lost</w:t>
            </w:r>
          </w:p>
        </w:tc>
      </w:tr>
      <w:tr>
        <w:tc>
          <w:tcPr/>
          <w:p>
            <w:pPr>
              <w:pStyle w:val="Compact"/>
              <w:jc w:val="left"/>
            </w:pPr>
            <w:r>
              <w:t xml:space="preserve">Fine Type</w:t>
            </w:r>
          </w:p>
        </w:tc>
        <w:tc>
          <w:tcPr/>
          <w:p>
            <w:pPr>
              <w:pStyle w:val="Compact"/>
              <w:jc w:val="left"/>
            </w:pPr>
            <w:r>
              <w:t xml:space="preserve">Overdue, Lost Item, Damage, Processing</w:t>
            </w:r>
          </w:p>
        </w:tc>
      </w:tr>
      <w:tr>
        <w:tc>
          <w:tcPr/>
          <w:p>
            <w:pPr>
              <w:pStyle w:val="Compact"/>
              <w:jc w:val="left"/>
            </w:pPr>
            <w:r>
              <w:t xml:space="preserve">Payment Method</w:t>
            </w:r>
          </w:p>
        </w:tc>
        <w:tc>
          <w:tcPr/>
          <w:p>
            <w:pPr>
              <w:pStyle w:val="Compact"/>
              <w:jc w:val="left"/>
            </w:pPr>
            <w:r>
              <w:t xml:space="preserve">Cash, Card, Transfer, Waiver</w:t>
            </w:r>
          </w:p>
        </w:tc>
      </w:tr>
      <w:tr>
        <w:tc>
          <w:tcPr/>
          <w:p>
            <w:pPr>
              <w:pStyle w:val="Compact"/>
              <w:jc w:val="left"/>
            </w:pPr>
            <w:r>
              <w:t xml:space="preserve">Order Status</w:t>
            </w:r>
          </w:p>
        </w:tc>
        <w:tc>
          <w:tcPr/>
          <w:p>
            <w:pPr>
              <w:pStyle w:val="Compact"/>
              <w:jc w:val="left"/>
            </w:pPr>
            <w:r>
              <w:t xml:space="preserve">Draft, Submitted, Approved, Received, Cancelled</w:t>
            </w:r>
          </w:p>
        </w:tc>
      </w:tr>
      <w:tr>
        <w:tc>
          <w:tcPr/>
          <w:p>
            <w:pPr>
              <w:pStyle w:val="Compact"/>
              <w:jc w:val="left"/>
            </w:pPr>
            <w:r>
              <w:t xml:space="preserve">ILL Status</w:t>
            </w:r>
          </w:p>
        </w:tc>
        <w:tc>
          <w:tcPr/>
          <w:p>
            <w:pPr>
              <w:pStyle w:val="Compact"/>
              <w:jc w:val="left"/>
            </w:pPr>
            <w:r>
              <w:t xml:space="preserve">Submitted, Approved, Sent, Received, Returned</w:t>
            </w:r>
          </w:p>
        </w:tc>
      </w:tr>
      <w:tr>
        <w:tc>
          <w:tcPr/>
          <w:p>
            <w:pPr>
              <w:pStyle w:val="Compact"/>
              <w:jc w:val="left"/>
            </w:pPr>
            <w:r>
              <w:t xml:space="preserve">Subscription Status</w:t>
            </w:r>
          </w:p>
        </w:tc>
        <w:tc>
          <w:tcPr/>
          <w:p>
            <w:pPr>
              <w:pStyle w:val="Compact"/>
              <w:jc w:val="left"/>
            </w:pPr>
            <w:r>
              <w:t xml:space="preserve">Active, Suspended, Cancelled, Expired</w:t>
            </w:r>
          </w:p>
        </w:tc>
      </w:tr>
      <w:tr>
        <w:tc>
          <w:tcPr/>
          <w:p>
            <w:pPr>
              <w:pStyle w:val="Compact"/>
              <w:jc w:val="left"/>
            </w:pPr>
            <w:r>
              <w:t xml:space="preserve">Classification Scheme</w:t>
            </w:r>
          </w:p>
        </w:tc>
        <w:tc>
          <w:tcPr/>
          <w:p>
            <w:pPr>
              <w:pStyle w:val="Compact"/>
              <w:jc w:val="left"/>
            </w:pPr>
            <w:r>
              <w:t xml:space="preserve">Dewey, LCC, UDC</w:t>
            </w:r>
          </w:p>
        </w:tc>
      </w:tr>
      <w:tr>
        <w:tc>
          <w:tcPr/>
          <w:p>
            <w:pPr>
              <w:pStyle w:val="Compact"/>
              <w:jc w:val="left"/>
            </w:pPr>
            <w:r>
              <w:t xml:space="preserve">Serial Frequency</w:t>
            </w:r>
          </w:p>
        </w:tc>
        <w:tc>
          <w:tcPr/>
          <w:p>
            <w:pPr>
              <w:pStyle w:val="Compact"/>
              <w:jc w:val="left"/>
            </w:pPr>
            <w:r>
              <w:t xml:space="preserve">Daily, Weekly, Monthly, Quarterly, Annual</w:t>
            </w:r>
          </w:p>
        </w:tc>
      </w:tr>
      <w:tr>
        <w:tc>
          <w:tcPr/>
          <w:p>
            <w:pPr>
              <w:pStyle w:val="Compact"/>
              <w:jc w:val="left"/>
            </w:pPr>
            <w:r>
              <w:t xml:space="preserve">Acquisition Method</w:t>
            </w:r>
          </w:p>
        </w:tc>
        <w:tc>
          <w:tcPr/>
          <w:p>
            <w:pPr>
              <w:pStyle w:val="Compact"/>
              <w:jc w:val="left"/>
            </w:pPr>
            <w:r>
              <w:t xml:space="preserve">Purchase, Donation, Exchange, Legal Deposit</w:t>
            </w:r>
          </w:p>
        </w:tc>
      </w:tr>
      <w:tr>
        <w:tc>
          <w:tcPr/>
          <w:p>
            <w:pPr>
              <w:pStyle w:val="Compact"/>
              <w:jc w:val="left"/>
            </w:pPr>
            <w:r>
              <w:t xml:space="preserve">Conservation Priority</w:t>
            </w:r>
          </w:p>
        </w:tc>
        <w:tc>
          <w:tcPr/>
          <w:p>
            <w:pPr>
              <w:pStyle w:val="Compact"/>
              <w:jc w:val="left"/>
            </w:pPr>
            <w:r>
              <w:t xml:space="preserve">Urgent, High, Medium, Low</w:t>
            </w:r>
          </w:p>
        </w:tc>
      </w:tr>
    </w:tbl>
    <w:p>
      <w:r>
        <w:pict>
          <v:rect style="width:0;height:1.5pt" o:hralign="center" o:hrstd="t" o:hr="t"/>
        </w:pict>
      </w:r>
    </w:p>
    <w:bookmarkEnd w:id="32"/>
    <w:bookmarkEnd w:id="33"/>
    <w:bookmarkStart w:id="34" w:name="architecture"/>
    <w:p>
      <w:pPr>
        <w:pStyle w:val="Heading2"/>
      </w:pPr>
      <w:r>
        <w:t xml:space="preserve">Architecture</w:t>
      </w:r>
    </w:p>
    <w:p>
      <w:pPr>
        <w:numPr>
          <w:ilvl w:val="0"/>
          <w:numId w:val="1012"/>
        </w:numPr>
        <w:pStyle w:val="Compact"/>
      </w:pPr>
      <w:r>
        <w:t xml:space="preserve">ahgLibraryPlugin v2.0.0</w:t>
      </w:r>
    </w:p>
    <w:p>
      <w:pPr>
        <w:numPr>
          <w:ilvl w:val="0"/>
          <w:numId w:val="1012"/>
        </w:numPr>
        <w:pStyle w:val="Compact"/>
      </w:pPr>
      <w:r>
        <w:t xml:space="preserve">Modules: library, circulation, patron, opac,</w:t>
      </w:r>
    </w:p>
    <w:p>
      <w:pPr>
        <w:numPr>
          <w:ilvl w:val="0"/>
          <w:numId w:val="1012"/>
        </w:numPr>
        <w:pStyle w:val="Compact"/>
      </w:pPr>
      <w:r>
        <w:t xml:space="preserve">acquisition, serial, ill, isbn, reports</w:t>
      </w:r>
    </w:p>
    <w:p>
      <w:pPr>
        <w:numPr>
          <w:ilvl w:val="0"/>
          <w:numId w:val="1012"/>
        </w:numPr>
        <w:pStyle w:val="Compact"/>
      </w:pPr>
      <w:r>
        <w:t xml:space="preserve">Services: 14 (Circulation, Patron, Hold, Fine,</w:t>
      </w:r>
    </w:p>
    <w:p>
      <w:pPr>
        <w:numPr>
          <w:ilvl w:val="0"/>
          <w:numId w:val="1012"/>
        </w:numPr>
        <w:pStyle w:val="Compact"/>
      </w:pPr>
      <w:r>
        <w:t xml:space="preserve">Acquisition, Serial, ILL, OPAC, MARC,</w:t>
      </w:r>
    </w:p>
    <w:p>
      <w:pPr>
        <w:numPr>
          <w:ilvl w:val="0"/>
          <w:numId w:val="1012"/>
        </w:numPr>
        <w:pStyle w:val="Compact"/>
      </w:pPr>
      <w:r>
        <w:t xml:space="preserve">Library, BookCover, ISBN, Subject, WorldCat)</w:t>
      </w:r>
    </w:p>
    <w:p>
      <w:pPr>
        <w:numPr>
          <w:ilvl w:val="0"/>
          <w:numId w:val="1012"/>
        </w:numPr>
        <w:pStyle w:val="Compact"/>
      </w:pPr>
      <w:r>
        <w:t xml:space="preserve">Database: 18 tables, 46 routes</w:t>
      </w:r>
    </w:p>
    <w:p>
      <w:pPr>
        <w:numPr>
          <w:ilvl w:val="0"/>
          <w:numId w:val="1012"/>
        </w:numPr>
        <w:pStyle w:val="Compact"/>
      </w:pPr>
      <w:r>
        <w:t xml:space="preserve">Heritage Accounting: GRAP 103 / IPSAS 45</w:t>
      </w:r>
    </w:p>
    <w:p>
      <w:r>
        <w:pict>
          <v:rect style="width:0;height:1.5pt" o:hralign="center" o:hrstd="t" o:hr="t"/>
        </w:pict>
      </w:r>
    </w:p>
    <w:bookmarkEnd w:id="34"/>
    <w:bookmarkStart w:id="35" w:name="database-tables"/>
    <w:p>
      <w:pPr>
        <w:pStyle w:val="Heading2"/>
      </w:pPr>
      <w:r>
        <w:t xml:space="preserve">Database Tables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Table</w:t>
            </w:r>
          </w:p>
        </w:tc>
        <w:tc>
          <w:tcPr/>
          <w:p>
            <w:pPr>
              <w:pStyle w:val="Compact"/>
              <w:jc w:val="left"/>
            </w:pPr>
            <w:r>
              <w:t xml:space="preserve">Purpose</w:t>
            </w:r>
          </w:p>
        </w:tc>
      </w:tr>
      <w:tr>
        <w:tc>
          <w:tcPr/>
          <w:p>
            <w:pPr>
              <w:pStyle w:val="Compact"/>
              <w:jc w:val="left"/>
            </w:pPr>
            <w:r>
              <w:t xml:space="preserve">library_item</w:t>
            </w:r>
          </w:p>
        </w:tc>
        <w:tc>
          <w:tcPr/>
          <w:p>
            <w:pPr>
              <w:pStyle w:val="Compact"/>
              <w:jc w:val="left"/>
            </w:pPr>
            <w:r>
              <w:t xml:space="preserve">Core bibliographic record (71 fields + 18 heritage accounting)</w:t>
            </w:r>
          </w:p>
        </w:tc>
      </w:tr>
      <w:tr>
        <w:tc>
          <w:tcPr/>
          <w:p>
            <w:pPr>
              <w:pStyle w:val="Compact"/>
              <w:jc w:val="left"/>
            </w:pPr>
            <w:r>
              <w:t xml:space="preserve">library_item_creator</w:t>
            </w:r>
          </w:p>
        </w:tc>
        <w:tc>
          <w:tcPr/>
          <w:p>
            <w:pPr>
              <w:pStyle w:val="Compact"/>
              <w:jc w:val="left"/>
            </w:pPr>
            <w:r>
              <w:t xml:space="preserve">Creator/contributor with MARC relator codes</w:t>
            </w:r>
          </w:p>
        </w:tc>
      </w:tr>
      <w:tr>
        <w:tc>
          <w:tcPr/>
          <w:p>
            <w:pPr>
              <w:pStyle w:val="Compact"/>
              <w:jc w:val="left"/>
            </w:pPr>
            <w:r>
              <w:t xml:space="preserve">library_item_subject</w:t>
            </w:r>
          </w:p>
        </w:tc>
        <w:tc>
          <w:tcPr/>
          <w:p>
            <w:pPr>
              <w:pStyle w:val="Compact"/>
              <w:jc w:val="left"/>
            </w:pPr>
            <w:r>
              <w:t xml:space="preserve">Subject headings with LCSH authority linking</w:t>
            </w:r>
          </w:p>
        </w:tc>
      </w:tr>
      <w:tr>
        <w:tc>
          <w:tcPr/>
          <w:p>
            <w:pPr>
              <w:pStyle w:val="Compact"/>
              <w:jc w:val="left"/>
            </w:pPr>
            <w:r>
              <w:t xml:space="preserve">library_copy</w:t>
            </w:r>
          </w:p>
        </w:tc>
        <w:tc>
          <w:tcPr/>
          <w:p>
            <w:pPr>
              <w:pStyle w:val="Compact"/>
              <w:jc w:val="left"/>
            </w:pPr>
            <w:r>
              <w:t xml:space="preserve">Individual physical copies with barcode, condition, location</w:t>
            </w:r>
          </w:p>
        </w:tc>
      </w:tr>
      <w:tr>
        <w:tc>
          <w:tcPr/>
          <w:p>
            <w:pPr>
              <w:pStyle w:val="Compact"/>
              <w:jc w:val="left"/>
            </w:pPr>
            <w:r>
              <w:t xml:space="preserve">library_patron</w:t>
            </w:r>
          </w:p>
        </w:tc>
        <w:tc>
          <w:tcPr/>
          <w:p>
            <w:pPr>
              <w:pStyle w:val="Compact"/>
              <w:jc w:val="left"/>
            </w:pPr>
            <w:r>
              <w:t xml:space="preserve">Library patrons with borrowing privileges</w:t>
            </w:r>
          </w:p>
        </w:tc>
      </w:tr>
      <w:tr>
        <w:tc>
          <w:tcPr/>
          <w:p>
            <w:pPr>
              <w:pStyle w:val="Compact"/>
              <w:jc w:val="left"/>
            </w:pPr>
            <w:r>
              <w:t xml:space="preserve">library_checkout</w:t>
            </w:r>
          </w:p>
        </w:tc>
        <w:tc>
          <w:tcPr/>
          <w:p>
            <w:pPr>
              <w:pStyle w:val="Compact"/>
              <w:jc w:val="left"/>
            </w:pPr>
            <w:r>
              <w:t xml:space="preserve">Circulation transactions</w:t>
            </w:r>
          </w:p>
        </w:tc>
      </w:tr>
      <w:tr>
        <w:tc>
          <w:tcPr/>
          <w:p>
            <w:pPr>
              <w:pStyle w:val="Compact"/>
              <w:jc w:val="left"/>
            </w:pPr>
            <w:r>
              <w:t xml:space="preserve">library_hold</w:t>
            </w:r>
          </w:p>
        </w:tc>
        <w:tc>
          <w:tcPr/>
          <w:p>
            <w:pPr>
              <w:pStyle w:val="Compact"/>
              <w:jc w:val="left"/>
            </w:pPr>
            <w:r>
              <w:t xml:space="preserve">Hold/reservation queue</w:t>
            </w:r>
          </w:p>
        </w:tc>
      </w:tr>
      <w:tr>
        <w:tc>
          <w:tcPr/>
          <w:p>
            <w:pPr>
              <w:pStyle w:val="Compact"/>
              <w:jc w:val="left"/>
            </w:pPr>
            <w:r>
              <w:t xml:space="preserve">library_fine</w:t>
            </w:r>
          </w:p>
        </w:tc>
        <w:tc>
          <w:tcPr/>
          <w:p>
            <w:pPr>
              <w:pStyle w:val="Compact"/>
              <w:jc w:val="left"/>
            </w:pPr>
            <w:r>
              <w:t xml:space="preserve">Fines and payment tracking</w:t>
            </w:r>
          </w:p>
        </w:tc>
      </w:tr>
      <w:tr>
        <w:tc>
          <w:tcPr/>
          <w:p>
            <w:pPr>
              <w:pStyle w:val="Compact"/>
              <w:jc w:val="left"/>
            </w:pPr>
            <w:r>
              <w:t xml:space="preserve">library_loan_rule</w:t>
            </w:r>
          </w:p>
        </w:tc>
        <w:tc>
          <w:tcPr/>
          <w:p>
            <w:pPr>
              <w:pStyle w:val="Compact"/>
              <w:jc w:val="left"/>
            </w:pPr>
            <w:r>
              <w:t xml:space="preserve">Configurable loan policies per material/patron type</w:t>
            </w:r>
          </w:p>
        </w:tc>
      </w:tr>
      <w:tr>
        <w:tc>
          <w:tcPr/>
          <w:p>
            <w:pPr>
              <w:pStyle w:val="Compact"/>
              <w:jc w:val="left"/>
            </w:pPr>
            <w:r>
              <w:t xml:space="preserve">library_subscription</w:t>
            </w:r>
          </w:p>
        </w:tc>
        <w:tc>
          <w:tcPr/>
          <w:p>
            <w:pPr>
              <w:pStyle w:val="Compact"/>
              <w:jc w:val="left"/>
            </w:pPr>
            <w:r>
              <w:t xml:space="preserve">Serial subscriptions</w:t>
            </w:r>
          </w:p>
        </w:tc>
      </w:tr>
      <w:tr>
        <w:tc>
          <w:tcPr/>
          <w:p>
            <w:pPr>
              <w:pStyle w:val="Compact"/>
              <w:jc w:val="left"/>
            </w:pPr>
            <w:r>
              <w:t xml:space="preserve">library_serial_issue</w:t>
            </w:r>
          </w:p>
        </w:tc>
        <w:tc>
          <w:tcPr/>
          <w:p>
            <w:pPr>
              <w:pStyle w:val="Compact"/>
              <w:jc w:val="left"/>
            </w:pPr>
            <w:r>
              <w:t xml:space="preserve">Individual serial issues</w:t>
            </w:r>
          </w:p>
        </w:tc>
      </w:tr>
      <w:tr>
        <w:tc>
          <w:tcPr/>
          <w:p>
            <w:pPr>
              <w:pStyle w:val="Compact"/>
              <w:jc w:val="left"/>
            </w:pPr>
            <w:r>
              <w:t xml:space="preserve">library_order</w:t>
            </w:r>
          </w:p>
        </w:tc>
        <w:tc>
          <w:tcPr/>
          <w:p>
            <w:pPr>
              <w:pStyle w:val="Compact"/>
              <w:jc w:val="left"/>
            </w:pPr>
            <w:r>
              <w:t xml:space="preserve">Purchase orders</w:t>
            </w:r>
          </w:p>
        </w:tc>
      </w:tr>
      <w:tr>
        <w:tc>
          <w:tcPr/>
          <w:p>
            <w:pPr>
              <w:pStyle w:val="Compact"/>
              <w:jc w:val="left"/>
            </w:pPr>
            <w:r>
              <w:t xml:space="preserve">library_order_line</w:t>
            </w:r>
          </w:p>
        </w:tc>
        <w:tc>
          <w:tcPr/>
          <w:p>
            <w:pPr>
              <w:pStyle w:val="Compact"/>
              <w:jc w:val="left"/>
            </w:pPr>
            <w:r>
              <w:t xml:space="preserve">Order line items</w:t>
            </w:r>
          </w:p>
        </w:tc>
      </w:tr>
      <w:tr>
        <w:tc>
          <w:tcPr/>
          <w:p>
            <w:pPr>
              <w:pStyle w:val="Compact"/>
              <w:jc w:val="left"/>
            </w:pPr>
            <w:r>
              <w:t xml:space="preserve">library_budget</w:t>
            </w:r>
          </w:p>
        </w:tc>
        <w:tc>
          <w:tcPr/>
          <w:p>
            <w:pPr>
              <w:pStyle w:val="Compact"/>
              <w:jc w:val="left"/>
            </w:pPr>
            <w:r>
              <w:t xml:space="preserve">Budget allocation and tracking</w:t>
            </w:r>
          </w:p>
        </w:tc>
      </w:tr>
      <w:tr>
        <w:tc>
          <w:tcPr/>
          <w:p>
            <w:pPr>
              <w:pStyle w:val="Compact"/>
              <w:jc w:val="left"/>
            </w:pPr>
            <w:r>
              <w:t xml:space="preserve">library_ill_request</w:t>
            </w:r>
          </w:p>
        </w:tc>
        <w:tc>
          <w:tcPr/>
          <w:p>
            <w:pPr>
              <w:pStyle w:val="Compact"/>
              <w:jc w:val="left"/>
            </w:pPr>
            <w:r>
              <w:t xml:space="preserve">Interlibrary loan requests</w:t>
            </w:r>
          </w:p>
        </w:tc>
      </w:tr>
      <w:tr>
        <w:tc>
          <w:tcPr/>
          <w:p>
            <w:pPr>
              <w:pStyle w:val="Compact"/>
              <w:jc w:val="left"/>
            </w:pPr>
            <w:r>
              <w:t xml:space="preserve">library_subject_authority</w:t>
            </w:r>
          </w:p>
        </w:tc>
        <w:tc>
          <w:tcPr/>
          <w:p>
            <w:pPr>
              <w:pStyle w:val="Compact"/>
              <w:jc w:val="left"/>
            </w:pPr>
            <w:r>
              <w:t xml:space="preserve">Controlled subject headings</w:t>
            </w:r>
          </w:p>
        </w:tc>
      </w:tr>
      <w:tr>
        <w:tc>
          <w:tcPr/>
          <w:p>
            <w:pPr>
              <w:pStyle w:val="Compact"/>
              <w:jc w:val="left"/>
            </w:pPr>
            <w:r>
              <w:t xml:space="preserve">library_entity_subject_map</w:t>
            </w:r>
          </w:p>
        </w:tc>
        <w:tc>
          <w:tcPr/>
          <w:p>
            <w:pPr>
              <w:pStyle w:val="Compact"/>
              <w:jc w:val="left"/>
            </w:pPr>
            <w:r>
              <w:t xml:space="preserve">NER entity to subject mapping</w:t>
            </w:r>
          </w:p>
        </w:tc>
      </w:tr>
      <w:tr>
        <w:tc>
          <w:tcPr/>
          <w:p>
            <w:pPr>
              <w:pStyle w:val="Compact"/>
              <w:jc w:val="left"/>
            </w:pPr>
            <w:r>
              <w:t xml:space="preserve">library_settings</w:t>
            </w:r>
          </w:p>
        </w:tc>
        <w:tc>
          <w:tcPr/>
          <w:p>
            <w:pPr>
              <w:pStyle w:val="Compact"/>
              <w:jc w:val="left"/>
            </w:pPr>
            <w:r>
              <w:t xml:space="preserve">Library-specific configuration</w:t>
            </w:r>
          </w:p>
        </w:tc>
      </w:tr>
    </w:tbl>
    <w:p>
      <w:r>
        <w:pict>
          <v:rect style="width:0;height:1.5pt" o:hralign="center" o:hrstd="t" o:hr="t"/>
        </w:pict>
      </w:r>
    </w:p>
    <w:bookmarkEnd w:id="35"/>
    <w:bookmarkStart w:id="36" w:name="key-url-routes"/>
    <w:p>
      <w:pPr>
        <w:pStyle w:val="Heading2"/>
      </w:pPr>
      <w:r>
        <w:t xml:space="preserve">Key URL Routes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Route</w:t>
            </w:r>
          </w:p>
        </w:tc>
        <w:tc>
          <w:tcPr/>
          <w:p>
            <w:pPr>
              <w:pStyle w:val="Compact"/>
              <w:jc w:val="left"/>
            </w:pPr>
            <w:r>
              <w:t xml:space="preserve">Purpose</w:t>
            </w:r>
          </w:p>
        </w:tc>
      </w:tr>
      <w:tr>
        <w:tc>
          <w:tcPr/>
          <w:p>
            <w:pPr>
              <w:pStyle w:val="Compact"/>
              <w:jc w:val="left"/>
            </w:pPr>
            <w:r>
              <w:rPr>
                <w:rStyle w:val="VerbatimChar"/>
              </w:rPr>
              <w:t xml:space="preserve">/library</w:t>
            </w:r>
          </w:p>
        </w:tc>
        <w:tc>
          <w:tcPr/>
          <w:p>
            <w:pPr>
              <w:pStyle w:val="Compact"/>
              <w:jc w:val="left"/>
            </w:pPr>
            <w:r>
              <w:t xml:space="preserve">Browse library catalog</w:t>
            </w:r>
          </w:p>
        </w:tc>
      </w:tr>
      <w:tr>
        <w:tc>
          <w:tcPr/>
          <w:p>
            <w:pPr>
              <w:pStyle w:val="Compact"/>
              <w:jc w:val="left"/>
            </w:pPr>
            <w:r>
              <w:rPr>
                <w:rStyle w:val="VerbatimChar"/>
              </w:rPr>
              <w:t xml:space="preserve">/opac</w:t>
            </w:r>
          </w:p>
        </w:tc>
        <w:tc>
          <w:tcPr/>
          <w:p>
            <w:pPr>
              <w:pStyle w:val="Compact"/>
              <w:jc w:val="left"/>
            </w:pPr>
            <w:r>
              <w:t xml:space="preserve">Public catalog search (OPAC)</w:t>
            </w:r>
          </w:p>
        </w:tc>
      </w:tr>
      <w:tr>
        <w:tc>
          <w:tcPr/>
          <w:p>
            <w:pPr>
              <w:pStyle w:val="Compact"/>
              <w:jc w:val="left"/>
            </w:pPr>
            <w:r>
              <w:rPr>
                <w:rStyle w:val="VerbatimChar"/>
              </w:rPr>
              <w:t xml:space="preserve">/circulation</w:t>
            </w:r>
          </w:p>
        </w:tc>
        <w:tc>
          <w:tcPr/>
          <w:p>
            <w:pPr>
              <w:pStyle w:val="Compact"/>
              <w:jc w:val="left"/>
            </w:pPr>
            <w:r>
              <w:t xml:space="preserve">Checkout station</w:t>
            </w:r>
          </w:p>
        </w:tc>
      </w:tr>
      <w:tr>
        <w:tc>
          <w:tcPr/>
          <w:p>
            <w:pPr>
              <w:pStyle w:val="Compact"/>
              <w:jc w:val="left"/>
            </w:pPr>
            <w:r>
              <w:rPr>
                <w:rStyle w:val="VerbatimChar"/>
              </w:rPr>
              <w:t xml:space="preserve">/patron</w:t>
            </w:r>
          </w:p>
        </w:tc>
        <w:tc>
          <w:tcPr/>
          <w:p>
            <w:pPr>
              <w:pStyle w:val="Compact"/>
              <w:jc w:val="left"/>
            </w:pPr>
            <w:r>
              <w:t xml:space="preserve">Patron management</w:t>
            </w:r>
          </w:p>
        </w:tc>
      </w:tr>
      <w:tr>
        <w:tc>
          <w:tcPr/>
          <w:p>
            <w:pPr>
              <w:pStyle w:val="Compact"/>
              <w:jc w:val="left"/>
            </w:pPr>
            <w:r>
              <w:rPr>
                <w:rStyle w:val="VerbatimChar"/>
              </w:rPr>
              <w:t xml:space="preserve">/acquisition</w:t>
            </w:r>
          </w:p>
        </w:tc>
        <w:tc>
          <w:tcPr/>
          <w:p>
            <w:pPr>
              <w:pStyle w:val="Compact"/>
              <w:jc w:val="left"/>
            </w:pPr>
            <w:r>
              <w:t xml:space="preserve">Purchase orders and receiving</w:t>
            </w:r>
          </w:p>
        </w:tc>
      </w:tr>
      <w:tr>
        <w:tc>
          <w:tcPr/>
          <w:p>
            <w:pPr>
              <w:pStyle w:val="Compact"/>
              <w:jc w:val="left"/>
            </w:pPr>
            <w:r>
              <w:rPr>
                <w:rStyle w:val="VerbatimChar"/>
              </w:rPr>
              <w:t xml:space="preserve">/serial</w:t>
            </w:r>
          </w:p>
        </w:tc>
        <w:tc>
          <w:tcPr/>
          <w:p>
            <w:pPr>
              <w:pStyle w:val="Compact"/>
              <w:jc w:val="left"/>
            </w:pPr>
            <w:r>
              <w:t xml:space="preserve">Subscription and issue management</w:t>
            </w:r>
          </w:p>
        </w:tc>
      </w:tr>
      <w:tr>
        <w:tc>
          <w:tcPr/>
          <w:p>
            <w:pPr>
              <w:pStyle w:val="Compact"/>
              <w:jc w:val="left"/>
            </w:pPr>
            <w:r>
              <w:rPr>
                <w:rStyle w:val="VerbatimChar"/>
              </w:rPr>
              <w:t xml:space="preserve">/ill</w:t>
            </w:r>
          </w:p>
        </w:tc>
        <w:tc>
          <w:tcPr/>
          <w:p>
            <w:pPr>
              <w:pStyle w:val="Compact"/>
              <w:jc w:val="left"/>
            </w:pPr>
            <w:r>
              <w:t xml:space="preserve">Interlibrary loan requests</w:t>
            </w:r>
          </w:p>
        </w:tc>
      </w:tr>
    </w:tbl>
    <w:p>
      <w:r>
        <w:pict>
          <v:rect style="width:0;height:1.5pt" o:hralign="center" o:hrstd="t" o:hr="t"/>
        </w:pict>
      </w:r>
    </w:p>
    <w:bookmarkEnd w:id="36"/>
    <w:bookmarkStart w:id="37" w:name="technical-requirements"/>
    <w:p>
      <w:pPr>
        <w:pStyle w:val="Heading2"/>
      </w:pPr>
      <w:r>
        <w:t xml:space="preserve">Technical Requirements</w:t>
      </w:r>
    </w:p>
    <w:tbl>
      <w:tblPr>
        <w:tblStyle w:val="Table"/>
        <w:tblW w:type="pct" w:w="5000"/>
        <w:tblLook w:firstRow="1" w:lastRow="0" w:firstColumn="0" w:lastColumn="0" w:noHBand="0" w:noVBand="0" w:val="0020"/>
        <w:jc w:val="start"/>
      </w:tblPr>
      <w:tblGrid>
        <w:gridCol w:w="4680"/>
        <w:gridCol w:w="3240"/>
      </w:tblGrid>
      <w:tr>
        <w:trPr>
          <w:tblHeader w:val="true"/>
        </w:trPr>
        <w:tc>
          <w:tcPr/>
          <w:p>
            <w:pPr>
              <w:pStyle w:val="Compact"/>
              <w:jc w:val="left"/>
            </w:pPr>
            <w:r>
              <w:t xml:space="preserve">Requirement</w:t>
            </w:r>
          </w:p>
        </w:tc>
        <w:tc>
          <w:tcPr/>
          <w:p>
            <w:pPr>
              <w:pStyle w:val="Compact"/>
              <w:jc w:val="left"/>
            </w:pPr>
            <w:r>
              <w:t xml:space="preserve">Version</w:t>
            </w:r>
          </w:p>
        </w:tc>
      </w:tr>
      <w:tr>
        <w:tc>
          <w:tcPr/>
          <w:p>
            <w:pPr>
              <w:pStyle w:val="Compact"/>
              <w:jc w:val="left"/>
            </w:pPr>
            <w:r>
              <w:t xml:space="preserve">PHP</w:t>
            </w:r>
          </w:p>
        </w:tc>
        <w:tc>
          <w:tcPr/>
          <w:p>
            <w:pPr>
              <w:pStyle w:val="Compact"/>
              <w:jc w:val="left"/>
            </w:pPr>
            <w:r>
              <w:t xml:space="preserve">8.3 or higher</w:t>
            </w:r>
          </w:p>
        </w:tc>
      </w:tr>
      <w:tr>
        <w:tc>
          <w:tcPr/>
          <w:p>
            <w:pPr>
              <w:pStyle w:val="Compact"/>
              <w:jc w:val="left"/>
            </w:pPr>
            <w:r>
              <w:t xml:space="preserve">MySQL</w:t>
            </w:r>
          </w:p>
        </w:tc>
        <w:tc>
          <w:tcPr/>
          <w:p>
            <w:pPr>
              <w:pStyle w:val="Compact"/>
              <w:jc w:val="left"/>
            </w:pPr>
            <w:r>
              <w:t xml:space="preserve">8.0 or higher</w:t>
            </w:r>
          </w:p>
        </w:tc>
      </w:tr>
      <w:tr>
        <w:tc>
          <w:tcPr/>
          <w:p>
            <w:pPr>
              <w:pStyle w:val="Compact"/>
              <w:jc w:val="left"/>
            </w:pPr>
            <w:r>
              <w:t xml:space="preserve">AtoM</w:t>
            </w:r>
          </w:p>
        </w:tc>
        <w:tc>
          <w:tcPr/>
          <w:p>
            <w:pPr>
              <w:pStyle w:val="Compact"/>
              <w:jc w:val="left"/>
            </w:pPr>
            <w:r>
              <w:t xml:space="preserve">2.10 or higher</w:t>
            </w:r>
          </w:p>
        </w:tc>
      </w:tr>
      <w:tr>
        <w:tc>
          <w:tcPr/>
          <w:p>
            <w:pPr>
              <w:pStyle w:val="Compact"/>
              <w:jc w:val="left"/>
            </w:pPr>
            <w:r>
              <w:t xml:space="preserve">atom-framework</w:t>
            </w:r>
          </w:p>
        </w:tc>
        <w:tc>
          <w:tcPr/>
          <w:p>
            <w:pPr>
              <w:pStyle w:val="Compact"/>
              <w:jc w:val="left"/>
            </w:pPr>
            <w:r>
              <w:t xml:space="preserve">v2.8.2 or higher</w:t>
            </w:r>
          </w:p>
        </w:tc>
      </w:tr>
      <w:tr>
        <w:tc>
          <w:tcPr/>
          <w:p>
            <w:pPr>
              <w:pStyle w:val="Compact"/>
              <w:jc w:val="left"/>
            </w:pPr>
            <w:r>
              <w:t xml:space="preserve">ahgCorePlugin</w:t>
            </w:r>
          </w:p>
        </w:tc>
        <w:tc>
          <w:tcPr/>
          <w:p>
            <w:pPr>
              <w:pStyle w:val="Compact"/>
              <w:jc w:val="left"/>
            </w:pPr>
            <w:r>
              <w:t xml:space="preserve">Required (provides Dropdown Manager)</w:t>
            </w:r>
          </w:p>
        </w:tc>
      </w:tr>
      <w:tr>
        <w:tc>
          <w:tcPr/>
          <w:p>
            <w:pPr>
              <w:pStyle w:val="Compact"/>
              <w:jc w:val="left"/>
            </w:pPr>
            <w:r>
              <w:t xml:space="preserve">ahgHeritageAccountingPlugin</w:t>
            </w:r>
          </w:p>
        </w:tc>
        <w:tc>
          <w:tcPr/>
          <w:p>
            <w:pPr>
              <w:pStyle w:val="Compact"/>
              <w:jc w:val="left"/>
            </w:pPr>
            <w:r>
              <w:t xml:space="preserve">Optional (for full heritage asset reporting)</w:t>
            </w:r>
          </w:p>
        </w:tc>
      </w:tr>
    </w:tbl>
    <w:p>
      <w:r>
        <w:pict>
          <v:rect style="width:0;height:1.5pt" o:hralign="center" o:hrstd="t" o:hr="t"/>
        </w:pict>
      </w:r>
    </w:p>
    <w:bookmarkEnd w:id="37"/>
    <w:bookmarkStart w:id="38" w:name="standards-compliance"/>
    <w:p>
      <w:pPr>
        <w:pStyle w:val="Heading2"/>
      </w:pPr>
      <w:r>
        <w:t xml:space="preserve">Standards Compliance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Standard</w:t>
            </w:r>
          </w:p>
        </w:tc>
        <w:tc>
          <w:tcPr/>
          <w:p>
            <w:pPr>
              <w:pStyle w:val="Compact"/>
              <w:jc w:val="left"/>
            </w:pPr>
            <w:r>
              <w:t xml:space="preserve">Coverage</w:t>
            </w:r>
          </w:p>
        </w:tc>
      </w:tr>
      <w:tr>
        <w:tc>
          <w:tcPr/>
          <w:p>
            <w:pPr>
              <w:pStyle w:val="Compact"/>
              <w:jc w:val="left"/>
            </w:pPr>
            <w:r>
              <w:t xml:space="preserve">MARC 21</w:t>
            </w:r>
          </w:p>
        </w:tc>
        <w:tc>
          <w:tcPr/>
          <w:p>
            <w:pPr>
              <w:pStyle w:val="Compact"/>
              <w:jc w:val="left"/>
            </w:pPr>
            <w:r>
              <w:t xml:space="preserve">Full MarcXML import/export with leader analysis and relator codes</w:t>
            </w:r>
          </w:p>
        </w:tc>
      </w:tr>
      <w:tr>
        <w:tc>
          <w:tcPr/>
          <w:p>
            <w:pPr>
              <w:pStyle w:val="Compact"/>
              <w:jc w:val="left"/>
            </w:pPr>
            <w:r>
              <w:t xml:space="preserve">LCSH</w:t>
            </w:r>
          </w:p>
        </w:tc>
        <w:tc>
          <w:tcPr/>
          <w:p>
            <w:pPr>
              <w:pStyle w:val="Compact"/>
              <w:jc w:val="left"/>
            </w:pPr>
            <w:r>
              <w:t xml:space="preserve">Subject heading authority linking</w:t>
            </w:r>
          </w:p>
        </w:tc>
      </w:tr>
      <w:tr>
        <w:tc>
          <w:tcPr/>
          <w:p>
            <w:pPr>
              <w:pStyle w:val="Compact"/>
              <w:jc w:val="left"/>
            </w:pPr>
            <w:r>
              <w:t xml:space="preserve">Dewey Decimal</w:t>
            </w:r>
          </w:p>
        </w:tc>
        <w:tc>
          <w:tcPr/>
          <w:p>
            <w:pPr>
              <w:pStyle w:val="Compact"/>
              <w:jc w:val="left"/>
            </w:pPr>
            <w:r>
              <w:t xml:space="preserve">Call number classification</w:t>
            </w:r>
          </w:p>
        </w:tc>
      </w:tr>
      <w:tr>
        <w:tc>
          <w:tcPr/>
          <w:p>
            <w:pPr>
              <w:pStyle w:val="Compact"/>
              <w:jc w:val="left"/>
            </w:pPr>
            <w:r>
              <w:t xml:space="preserve">Library of Congress Classification</w:t>
            </w:r>
          </w:p>
        </w:tc>
        <w:tc>
          <w:tcPr/>
          <w:p>
            <w:pPr>
              <w:pStyle w:val="Compact"/>
              <w:jc w:val="left"/>
            </w:pPr>
            <w:r>
              <w:t xml:space="preserve">Call number classification</w:t>
            </w:r>
          </w:p>
        </w:tc>
      </w:tr>
      <w:tr>
        <w:tc>
          <w:tcPr/>
          <w:p>
            <w:pPr>
              <w:pStyle w:val="Compact"/>
              <w:jc w:val="left"/>
            </w:pPr>
            <w:r>
              <w:t xml:space="preserve">Universal Decimal Classification</w:t>
            </w:r>
          </w:p>
        </w:tc>
        <w:tc>
          <w:tcPr/>
          <w:p>
            <w:pPr>
              <w:pStyle w:val="Compact"/>
              <w:jc w:val="left"/>
            </w:pPr>
            <w:r>
              <w:t xml:space="preserve">Call number classification</w:t>
            </w:r>
          </w:p>
        </w:tc>
      </w:tr>
      <w:tr>
        <w:tc>
          <w:tcPr/>
          <w:p>
            <w:pPr>
              <w:pStyle w:val="Compact"/>
              <w:jc w:val="left"/>
            </w:pPr>
            <w:r>
              <w:t xml:space="preserve">GRAP 103</w:t>
            </w:r>
          </w:p>
        </w:tc>
        <w:tc>
          <w:tcPr/>
          <w:p>
            <w:pPr>
              <w:pStyle w:val="Compact"/>
              <w:jc w:val="left"/>
            </w:pPr>
            <w:r>
              <w:t xml:space="preserve">Heritage asset accounting (South Africa)</w:t>
            </w:r>
          </w:p>
        </w:tc>
      </w:tr>
      <w:tr>
        <w:tc>
          <w:tcPr/>
          <w:p>
            <w:pPr>
              <w:pStyle w:val="Compact"/>
              <w:jc w:val="left"/>
            </w:pPr>
            <w:r>
              <w:t xml:space="preserve">IPSAS 45</w:t>
            </w:r>
          </w:p>
        </w:tc>
        <w:tc>
          <w:tcPr/>
          <w:p>
            <w:pPr>
              <w:pStyle w:val="Compact"/>
              <w:jc w:val="left"/>
            </w:pPr>
            <w:r>
              <w:t xml:space="preserve">Heritage asset accounting (International)</w:t>
            </w:r>
          </w:p>
        </w:tc>
      </w:tr>
    </w:tbl>
    <w:p>
      <w:r>
        <w:pict>
          <v:rect style="width:0;height:1.5pt" o:hralign="center" o:hrstd="t" o:hr="t"/>
        </w:pict>
      </w:r>
    </w:p>
    <w:bookmarkEnd w:id="38"/>
    <w:bookmarkStart w:id="39" w:name="about-the-archive-and-heritage-group"/>
    <w:p>
      <w:pPr>
        <w:pStyle w:val="Heading2"/>
      </w:pPr>
      <w:r>
        <w:t xml:space="preserve">About The Archive and Heritage Group</w:t>
      </w:r>
    </w:p>
    <w:p>
      <w:pPr>
        <w:pStyle w:val="FirstParagraph"/>
      </w:pPr>
      <w:r>
        <w:t xml:space="preserve">The Archive and Heritage Group (Pty) Ltd develops AtoM Heratio, a comprehensive modernization of the Access to Memory (AtoM) archival platform. Heratio extends AtoM with 80 plugins covering the full GLAM spectrum — galleries, libraries, archives, museums, and digital asset management — serving institutions internationally.</w:t>
      </w:r>
    </w:p>
    <w:p>
      <w:pPr>
        <w:pStyle w:val="BodyText"/>
      </w:pPr>
      <w:r>
        <w:t xml:space="preserve">For more information, contact:</w:t>
      </w:r>
      <w:r>
        <w:t xml:space="preserve"> </w:t>
      </w:r>
      <w:r>
        <w:rPr>
          <w:bCs/>
          <w:b/>
        </w:rPr>
        <w:t xml:space="preserve">johan@theahg.co.za</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Full Library System Feature Overview</dc:title>
  <dc:creator>The Archive and Heritage Group (Pty) Ltd</dc:creator>
  <cp:keywords/>
  <dcterms:created xsi:type="dcterms:W3CDTF">2026-09-28T15:08:11Z</dcterms:created>
  <dcterms:modified xsi:type="dcterms:W3CDTF">2026-09-28T15:08:11Z</dcterms:modified>
</cp:coreProperties>
</file>

<file path=docProps/custom.xml><?xml version="1.0" encoding="utf-8"?>
<Properties xmlns="http://schemas.openxmlformats.org/officeDocument/2006/custom-properties" xmlns:vt="http://schemas.openxmlformats.org/officeDocument/2006/docPropsVTypes"/>
</file>