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Research Portal — Feature Overview v3.3.0</w:t>
      </w:r>
    </w:p>
    <w:p>
      <w:pPr>
        <w:pStyle w:val="Author"/>
      </w:pPr>
      <w:r>
        <w:t xml:space="preserve">The Archive and Heritage Group (Pty) Ltd</w:t>
      </w:r>
    </w:p>
    <w:bookmarkStart w:id="57" w:name="Xda22e62a7895c8082526974830cb0c70ed7d866"/>
    <w:p>
      <w:pPr>
        <w:pStyle w:val="Heading1"/>
      </w:pPr>
      <w:r>
        <w:t xml:space="preserve">AtoM Heratio Research Portal — Feature Overview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AtoM Heratio Research Portal (ahgResearchPlugin)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3.3.0 (Research Enhancements release, 2026-05-16)</w:t>
      </w:r>
      <w:r>
        <w:t xml:space="preserve"> </w:t>
      </w:r>
      <w:r>
        <w:rPr>
          <w:bCs/>
          <w:b/>
        </w:rPr>
        <w:t xml:space="preserve">Vendor:</w:t>
      </w:r>
      <w:r>
        <w:t xml:space="preserve"> </w:t>
      </w:r>
      <w:r>
        <w:t xml:space="preserve">The Archive and Heritage Group (Pty) Ltd</w:t>
      </w:r>
      <w:r>
        <w:t xml:space="preserve"> </w:t>
      </w:r>
      <w:r>
        <w:rPr>
          <w:bCs/>
          <w:b/>
        </w:rPr>
        <w:t xml:space="preserve">Contact:</w:t>
      </w:r>
      <w:r>
        <w:t xml:space="preserve"> </w:t>
      </w:r>
      <w:r>
        <w:t xml:space="preserve">johan@theahg.co.za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bookmarkStart w:id="20" w:name="what-is-it"/>
    <w:p>
      <w:pPr>
        <w:pStyle w:val="Heading2"/>
      </w:pPr>
      <w:r>
        <w:t xml:space="preserve">What Is It?</w:t>
      </w:r>
    </w:p>
    <w:p>
      <w:pPr>
        <w:pStyle w:val="FirstParagraph"/>
      </w:pPr>
      <w:r>
        <w:t xml:space="preserve">The AtoM Heratio Research Portal is a comprehensive research support module built into the AtoM Heratio archival management platform. It transforms AtoM from a catalogue-only system into a full-service research environment — covering everything from researcher registration and reading room bookings through to material retrieval, chain-of-custody tracking, reproduction requests, and collaborative research tools.</w:t>
      </w:r>
    </w:p>
    <w:p>
      <w:pPr>
        <w:pStyle w:val="BodyText"/>
      </w:pPr>
      <w:r>
        <w:t xml:space="preserve">The Research Portal is designed for GLAM institutions (Galleries, Libraries, Archives, Museums) and Digital Asset Management organisations that need to manage researcher access, track physical material movements, and provide self-service research tools to their users.</w:t>
      </w:r>
    </w:p>
    <w:p>
      <w:r>
        <w:pict>
          <v:rect style="width:0;height:1.5pt" o:hralign="center" o:hrstd="t" o:hr="t"/>
        </w:pict>
      </w:r>
    </w:p>
    <w:bookmarkEnd w:id="20"/>
    <w:bookmarkStart w:id="37" w:name="key-feature-areas"/>
    <w:p>
      <w:pPr>
        <w:pStyle w:val="Heading2"/>
      </w:pPr>
      <w:r>
        <w:t xml:space="preserve">Key Feature Areas</w:t>
      </w:r>
    </w:p>
    <w:bookmarkStart w:id="21" w:name="Xa7bcbff46132158e7f548ea4d3c762f0ca60a98"/>
    <w:p>
      <w:pPr>
        <w:pStyle w:val="Heading3"/>
      </w:pPr>
      <w:r>
        <w:t xml:space="preserve">1. Researcher Registration and Access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 register online with institutional affiliation, research purpose, and ID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approval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review, approve, or reject applications with full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Researcher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types (Academic, Government, Public, Institutional) with per-type booking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 maintain their profile, ORCID integration, and contact details</w:t>
            </w:r>
          </w:p>
        </w:tc>
      </w:tr>
    </w:tbl>
    <w:bookmarkEnd w:id="21"/>
    <w:bookmarkStart w:id="22" w:name="reading-room-and-bookings"/>
    <w:p>
      <w:pPr>
        <w:pStyle w:val="Heading3"/>
      </w:pPr>
      <w:r>
        <w:t xml:space="preserve">2. Reading Room and Bookings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reading rooms with capacity, opening hours, and available equipment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specific seats within rooms; track occupancy in real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 book reading room sessions online, subject to type-based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specialised equipment (microfilm readers, scanners, laptops) alongside room bookings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Walk-in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registration for unbooked visitors arriving at the reading room</w:t>
            </w:r>
          </w:p>
        </w:tc>
      </w:tr>
    </w:tbl>
    <w:bookmarkEnd w:id="22"/>
    <w:bookmarkStart w:id="23" w:name="material-retrieval-queue"/>
    <w:p>
      <w:pPr>
        <w:pStyle w:val="Heading3"/>
      </w:pPr>
      <w:r>
        <w:t xml:space="preserve">3. Material Retrieval Queue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Queue-based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 flow through named queues: New, Rush, Retrieval, Transit, Delivery, Curatorial,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Rush and high-priority requests are visually flagged and can be filtered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 slip printing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printable call slips with item details, shelf location, and researcher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status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multiple requests and update their status in one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 location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automatically tracks each item’s current location as it moves through the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 retrieval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scheduled retrieval windows with cutoff times</w:t>
            </w:r>
          </w:p>
        </w:tc>
      </w:tr>
    </w:tbl>
    <w:bookmarkEnd w:id="23"/>
    <w:bookmarkStart w:id="24" w:name="chain-of-custody-tracking"/>
    <w:p>
      <w:pPr>
        <w:pStyle w:val="Heading3"/>
      </w:pPr>
      <w:r>
        <w:t xml:space="preserve">4. Chain-of-Custody Tracking</w:t>
      </w:r>
    </w:p>
    <w:p>
      <w:pPr>
        <w:pStyle w:val="FirstParagraph"/>
      </w:pPr>
      <w:r>
        <w:t xml:space="preserve">A full physical chain-of-custody system that records every handoff of archival materials: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Custody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who received materials, when, in what condition, with optional barcode scanning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Custody check-in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material returns with condition-before and condition-after assessments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second staff member verifies the returned material’s condition before re-shelving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Staff-to-staff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handoffs between staff members (e.g., shift changes)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out multiple items to researchers in a single operation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multiple returns with per-item condition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custody chain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unified timeline combining custody handoffs, Collections Procedures movement records, and provenance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Collections Procedures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custody event auto-generates a Collections Procedures-compliant movement record</w:t>
            </w:r>
          </w:p>
        </w:tc>
      </w:tr>
    </w:tbl>
    <w:bookmarkEnd w:id="24"/>
    <w:bookmarkStart w:id="25" w:name="a.-equipment-management"/>
    <w:p>
      <w:pPr>
        <w:pStyle w:val="Heading3"/>
      </w:pPr>
      <w:r>
        <w:t xml:space="preserve">4a. Equipment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equipment per reading room with type, brand, model, serial number, and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via Dropdown Manager — admin-configurable (Microfilm Reader, Scanner, Computer,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 book equipment alongside reading room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maintenance actions with condition before/after, performer, and next maintenance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audit trail of all maintenance per equipment item with AJAX-loaded history viewer</w:t>
            </w:r>
          </w:p>
        </w:tc>
      </w:tr>
    </w:tbl>
    <w:bookmarkEnd w:id="25"/>
    <w:bookmarkStart w:id="26" w:name="request-lifecycle-and-sla"/>
    <w:p>
      <w:pPr>
        <w:pStyle w:val="Heading3"/>
      </w:pPr>
      <w:r>
        <w:t xml:space="preserve">5. Request Lifecycle and SLA</w:t>
      </w:r>
    </w:p>
    <w:p>
      <w:pPr>
        <w:pStyle w:val="FirstParagraph"/>
      </w:pPr>
      <w:r>
        <w:t xml:space="preserve">End-to-end lifecycle management for material and reproduction requests: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view of all material and reproduction requests with SLA status 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Triage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request is triaged (approve, deny, needs information) before processing begins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SLA policies with warning, due, and escalation 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requests to specific staff members for fulfilment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Correspondence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threaded messaging between staff and researchers, with internal staff-only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requests with a reason (fulfilled, cancelled, duplicate, unable to fulfil)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status change, triage decision, assignment, and correspondence entry is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Request this item</w:t>
            </w:r>
            <w:r>
              <w:t xml:space="preserve">”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 can request materials directly from catalogue description pages</w:t>
            </w:r>
          </w:p>
        </w:tc>
      </w:tr>
    </w:tbl>
    <w:bookmarkEnd w:id="26"/>
    <w:bookmarkStart w:id="27" w:name="reproduction-requests"/>
    <w:p>
      <w:pPr>
        <w:pStyle w:val="Heading3"/>
      </w:pPr>
      <w:r>
        <w:t xml:space="preserve">6. Reproduction Requests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 submit reproduction requests with purpose, format, quality, and delivery preferences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Inline first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the first archive item (with TomSelect autocomplete) directly on the creation form — type, format, specifications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ODRL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Reproduction requests are checked against ODRL policies before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Item-level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specific items with page/section requirements and per-item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Costs calculated based on item count, format, quality, and urgency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generate invoices attached to reproduction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reproductions are uploaded with unique download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download is logged for compliance</w:t>
            </w:r>
          </w:p>
        </w:tc>
      </w:tr>
    </w:tbl>
    <w:bookmarkEnd w:id="27"/>
    <w:bookmarkStart w:id="28" w:name="collections-and-discovery"/>
    <w:p>
      <w:pPr>
        <w:pStyle w:val="Heading3"/>
      </w:pPr>
      <w:r>
        <w:t xml:space="preserve">7. Collections and Discovery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 create and manage personal groupings of archival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Saved 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search queries and receive notifications when new results appear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result diffing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search results over time using 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Citation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citations in 6 academic styles (APA, MLA, Chicago, Harvard, Turabian, IEEE)</w:t>
            </w:r>
          </w:p>
        </w:tc>
      </w:tr>
    </w:tbl>
    <w:bookmarkEnd w:id="28"/>
    <w:bookmarkStart w:id="29" w:name="annotations-and-knowledge-management"/>
    <w:p>
      <w:pPr>
        <w:pStyle w:val="Heading3"/>
      </w:pPr>
      <w:r>
        <w:t xml:space="preserve">8. Annotations and Knowledge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W3C Web 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Standards-compliant annotations on archival items with IIIF import/export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Annotation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 text editor for creating and managing annotations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research journal with dated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Hypotheses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hypothesis tracking with evidence linking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Subject-Predicate-Object triples for building knowledge graphs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scoring and source credibility evaluation</w:t>
            </w:r>
          </w:p>
        </w:tc>
      </w:tr>
    </w:tbl>
    <w:bookmarkEnd w:id="29"/>
    <w:bookmarkStart w:id="30" w:name="collaboration"/>
    <w:p>
      <w:pPr>
        <w:pStyle w:val="Heading3"/>
      </w:pPr>
      <w:r>
        <w:t xml:space="preserve">9. Collaboration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projects with collaborators, shared collections, and milestones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Ethics 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ethics review steps with type (IRB, consent, risk assessment), status, due date, and inline editing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workspaces with discussions, shared resources, member management, and role-based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 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edit/delete for workspace details, discussions, resources (with TomSelect search), and members (role change, remove)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Workspace-linked collections with item counts and owner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 peers to review and comment on research 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Institutional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research across partner institutions</w:t>
            </w:r>
          </w:p>
        </w:tc>
      </w:tr>
    </w:tbl>
    <w:bookmarkEnd w:id="30"/>
    <w:bookmarkStart w:id="31" w:name="publishing-and-reproducibility"/>
    <w:p>
      <w:pPr>
        <w:pStyle w:val="Heading3"/>
      </w:pPr>
      <w:r>
        <w:t xml:space="preserve">10. Publishing and Reproducibility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Bibliographies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bibliographies with RIS, BibTeX, and Zotero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research reports in PDF and DOCX format with rich text editing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Reproducibility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pack with summary cards (milestones, snapshots, resources, assertions, hypotheses, extraction jobs), computed integrity hash, and JSON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Immutable 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hash-verified snapshots of research state for reproducibility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RO-Crate 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research outputs as Research Object Crates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 minting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 DOIs for published research outputs via DataCite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ORCID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researcher profiles to ORCID identifiers</w:t>
            </w:r>
          </w:p>
        </w:tc>
      </w:tr>
    </w:tbl>
    <w:bookmarkEnd w:id="31"/>
    <w:bookmarkStart w:id="32" w:name="ai-powered-tools"/>
    <w:p>
      <w:pPr>
        <w:pStyle w:val="Heading3"/>
      </w:pPr>
      <w:r>
        <w:t xml:space="preserve">11. AI-Powered Tools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AI-powered Named Entity Recognition from archival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text summarisation of archival descriptions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review and validate AI-generated extractions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Disambiguate and link extracted entities to authority records</w:t>
            </w:r>
          </w:p>
        </w:tc>
      </w:tr>
    </w:tbl>
    <w:bookmarkEnd w:id="32"/>
    <w:bookmarkStart w:id="33" w:name="visualisation"/>
    <w:p>
      <w:pPr>
        <w:pStyle w:val="Heading3"/>
      </w:pPr>
      <w:r>
        <w:t xml:space="preserve">12. Visualisation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timeline of research events and archival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Geographic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 archival items and events on interactive maps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Visualise relationships between entities and assertions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Explore assertions and hypotheses as an interactive graph</w:t>
            </w:r>
          </w:p>
        </w:tc>
      </w:tr>
    </w:tbl>
    <w:bookmarkEnd w:id="33"/>
    <w:bookmarkStart w:id="34" w:name="odrl-policy-enforcement"/>
    <w:p>
      <w:pPr>
        <w:pStyle w:val="Heading3"/>
      </w:pPr>
      <w:r>
        <w:t xml:space="preserve">13. ODRL Policy Enforcement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edit, and delete ODRL policies via a full-featured admin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Policies can target archival descriptions, collections, projects, snapshots, annotations, and assertions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TomSelect-powered search for all target types — shows names, not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Permission, Prohibition, and Obligation with constraint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 whitelist (multi-select), date windows (from/to), and usage limits (max uses)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Enforcement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Policies enforced at 6 access points: view project, view collection, view snapshot, share project, reproducibility pack, reproduction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Default-allow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with no policies are accessible by default — only explicit prohibitions block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access evaluation is logged to</w:t>
            </w:r>
            <w:r>
              <w:t xml:space="preserve"> </w:t>
            </w:r>
            <w:r>
              <w:rPr>
                <w:rStyle w:val="VerbatimChar"/>
              </w:rPr>
              <w:t xml:space="preserve">research_access_decision</w:t>
            </w:r>
            <w:r>
              <w:t xml:space="preserve"> </w:t>
            </w:r>
            <w:r>
              <w:t xml:space="preserve">with rationale</w:t>
            </w:r>
          </w:p>
        </w:tc>
      </w:tr>
    </w:tbl>
    <w:bookmarkEnd w:id="34"/>
    <w:bookmarkStart w:id="35" w:name="api-keys-and-research-api"/>
    <w:p>
      <w:pPr>
        <w:pStyle w:val="Heading3"/>
      </w:pPr>
      <w:r>
        <w:t xml:space="preserve">14. API Keys and Research 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Generate, list, and revoke API keys from the researcher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Scope-based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 support Read, Write, and Search scopes — enforced by the API 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Unified key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API keys are stored in the central</w:t>
            </w:r>
            <w:r>
              <w:t xml:space="preserve"> </w:t>
            </w:r>
            <w:r>
              <w:rPr>
                <w:rStyle w:val="VerbatimChar"/>
              </w:rPr>
              <w:t xml:space="preserve">ahg_api_key</w:t>
            </w:r>
            <w:r>
              <w:t xml:space="preserve"> </w:t>
            </w:r>
            <w:r>
              <w:t xml:space="preserve">table with full scope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Profile, projects, collections, bookings, bibliographies, annotations, statistics, citations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Per-key rate limits with usage tracking</w:t>
            </w:r>
          </w:p>
        </w:tc>
      </w:tr>
    </w:tbl>
    <w:bookmarkEnd w:id="35"/>
    <w:bookmarkStart w:id="36" w:name="admin-tools"/>
    <w:p>
      <w:pPr>
        <w:pStyle w:val="Heading3"/>
      </w:pPr>
      <w:r>
        <w:t xml:space="preserve">15. Admin Tools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tabs (All, Pending, Approved, Suspended, Expired) with live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Researcher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with delete protection (cannot delete types assigned to researchers)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cards, registrations chart, bookings by room chart, breakdown by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research actions logged and viewable with type filtering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Ethics milestones, ODRL policies, security classification, trust scores per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Dropdown Manager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 types, equipment types, ID types managed via Dropdown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dropdown taxonomies included in</w:t>
            </w:r>
            <w:r>
              <w:t xml:space="preserve"> </w:t>
            </w:r>
            <w:r>
              <w:rPr>
                <w:rStyle w:val="VerbatimChar"/>
              </w:rPr>
              <w:t xml:space="preserve">install.sql</w:t>
            </w:r>
            <w:r>
              <w:t xml:space="preserve"> </w:t>
            </w:r>
            <w:r>
              <w:t xml:space="preserve">for new installations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51" w:name="Xe134a2d8b1283d377cffe32021a04333b5489c8"/>
    <w:p>
      <w:pPr>
        <w:pStyle w:val="Heading2"/>
      </w:pPr>
      <w:r>
        <w:t xml:space="preserve">What’s New in 3.3.0 — Research Enhancements (May 2026)</w:t>
      </w:r>
    </w:p>
    <w:p>
      <w:pPr>
        <w:pStyle w:val="FirstParagraph"/>
      </w:pPr>
      <w:r>
        <w:t xml:space="preserve">This release adds thirteen new researcher-facing features under a single bundled</w:t>
      </w:r>
      <w:r>
        <w:t xml:space="preserve"> </w:t>
      </w:r>
      <w:r>
        <w:t xml:space="preserve">update. They were ported from the Laravel Heratio reference implementation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docs/research-enhancements-roadmap.md</w:t>
      </w:r>
      <w:r>
        <w:t xml:space="preserve">) into the Symfony 1.4 AtoM Heratio</w:t>
      </w:r>
      <w:r>
        <w:t xml:space="preserve"> </w:t>
      </w:r>
      <w:r>
        <w:t xml:space="preserve">fork to give cross-instance researchers the same workflow on both platforms.</w:t>
      </w:r>
    </w:p>
    <w:bookmarkStart w:id="38" w:name="studio-grounded-ai-artefact-generator"/>
    <w:p>
      <w:pPr>
        <w:pStyle w:val="Heading3"/>
      </w:pPr>
      <w:r>
        <w:t xml:space="preserve">Studio — grounded AI artefact generator</w:t>
      </w:r>
    </w:p>
    <w:p>
      <w:pPr>
        <w:pStyle w:val="FirstParagraph"/>
      </w:pPr>
      <w:r>
        <w:t xml:space="preserve">Every research project now has a</w:t>
      </w:r>
      <w:r>
        <w:t xml:space="preserve"> </w:t>
      </w:r>
      <w:r>
        <w:rPr>
          <w:bCs/>
          <w:b/>
        </w:rPr>
        <w:t xml:space="preserve">Studio</w:t>
      </w:r>
      <w:r>
        <w:t xml:space="preserve"> </w:t>
      </w:r>
      <w:r>
        <w:t xml:space="preserve">tab. Researchers drop in items</w:t>
      </w:r>
      <w:r>
        <w:t xml:space="preserve"> </w:t>
      </w:r>
      <w:r>
        <w:t xml:space="preserve">from their evidence sets, pick an output type, and the platform generates an</w:t>
      </w:r>
      <w:r>
        <w:t xml:space="preserve"> </w:t>
      </w:r>
      <w:r>
        <w:t xml:space="preserve">LLM-grounded artefact with</w:t>
      </w:r>
      <w:r>
        <w:t xml:space="preserve"> </w:t>
      </w:r>
      <w:r>
        <w:rPr>
          <w:rStyle w:val="VerbatimChar"/>
        </w:rPr>
        <w:t xml:space="preserve">[N]</w:t>
      </w:r>
      <w:r>
        <w:t xml:space="preserve"> </w:t>
      </w:r>
      <w:r>
        <w:t xml:space="preserve">citation markers tied to the source list.</w:t>
      </w:r>
      <w:r>
        <w:t xml:space="preserve"> </w:t>
      </w:r>
      <w:r>
        <w:t xml:space="preserve">Eight output types are supported: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400–700 word markdown brief with overview, key facts, people, themes, open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600–1 000 word guide for graduate students with reading guide and discussion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6–10 Q&amp;A pairs, each citing the supporting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Chronological event list with year-precision dates and source citations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Mermaid graph showing entity relationships, plus a citation legend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Two-voice (Host/Expert) script for short documentary segments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Spreadsheet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Strict-JSON tabular extraction rendered to a downloadable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(via PhpSpreadsheet)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Two-voice podcast script; posted to a configurable TTS endpoint for</w:t>
            </w:r>
            <w:r>
              <w:t xml:space="preserve"> </w:t>
            </w:r>
            <w:r>
              <w:rPr>
                <w:rStyle w:val="VerbatimChar"/>
              </w:rPr>
              <w:t xml:space="preserve">.mp3</w:t>
            </w:r>
            <w:r>
              <w:t xml:space="preserve"> </w:t>
            </w:r>
            <w:r>
              <w:t xml:space="preserve">rendering</w:t>
            </w:r>
          </w:p>
        </w:tc>
      </w:tr>
    </w:tbl>
    <w:p>
      <w:pPr>
        <w:pStyle w:val="BodyText"/>
      </w:pPr>
      <w:r>
        <w:t xml:space="preserve">All AI calls flow through the existing AHG AI gateway via the</w:t>
      </w:r>
      <w:r>
        <w:t xml:space="preserve"> </w:t>
      </w:r>
      <w:r>
        <w:rPr>
          <w:rStyle w:val="VerbatimChar"/>
        </w:rPr>
        <w:t xml:space="preserve">ahgAIPlugin</w:t>
      </w:r>
      <w:r>
        <w:t xml:space="preserve"> </w:t>
      </w:r>
      <w:r>
        <w:rPr>
          <w:rStyle w:val="VerbatimChar"/>
        </w:rPr>
        <w:t xml:space="preserve">LlmService</w:t>
      </w:r>
      <w:r>
        <w:t xml:space="preserve"> </w:t>
      </w:r>
      <w:r>
        <w:t xml:space="preserve">— no new provider keys, no new infrastructure. Generation status,</w:t>
      </w:r>
      <w:r>
        <w:t xml:space="preserve"> </w:t>
      </w:r>
      <w:r>
        <w:t xml:space="preserve">token usage, model name, and elapsed time are tracked on each artefact.</w:t>
      </w:r>
    </w:p>
    <w:bookmarkEnd w:id="38"/>
    <w:bookmarkStart w:id="39" w:name="citation-hover-popovers"/>
    <w:p>
      <w:pPr>
        <w:pStyle w:val="Heading3"/>
      </w:pPr>
      <w:r>
        <w:t xml:space="preserve">Citation hover popovers</w:t>
      </w:r>
    </w:p>
    <w:p>
      <w:pPr>
        <w:pStyle w:val="FirstParagraph"/>
      </w:pPr>
      <w:r>
        <w:t xml:space="preserve">Any</w:t>
      </w:r>
      <w:r>
        <w:t xml:space="preserve"> </w:t>
      </w:r>
      <w:r>
        <w:rPr>
          <w:rStyle w:val="VerbatimChar"/>
        </w:rPr>
        <w:t xml:space="preserve">[N]</w:t>
      </w:r>
      <w:r>
        <w:t xml:space="preserve"> </w:t>
      </w:r>
      <w:r>
        <w:t xml:space="preserve">marker in a Studio artefact, report, or research output now renders</w:t>
      </w:r>
      <w:r>
        <w:t xml:space="preserve"> </w:t>
      </w:r>
      <w:r>
        <w:t xml:space="preserve">as a hover popover: source title, a 220-character snippet, and an</w:t>
      </w:r>
      <w:r>
        <w:t xml:space="preserve"> </w:t>
      </w:r>
      <w:r>
        <w:t xml:space="preserve">“</w:t>
      </w:r>
      <w:r>
        <w:t xml:space="preserve">Open</w:t>
      </w:r>
      <w:r>
        <w:t xml:space="preserve"> </w:t>
      </w:r>
      <w:r>
        <w:t xml:space="preserve">source</w:t>
      </w:r>
      <w:r>
        <w:t xml:space="preserve">”</w:t>
      </w:r>
      <w:r>
        <w:t xml:space="preserve"> </w:t>
      </w:r>
      <w:r>
        <w:t xml:space="preserve">link. Clicking the marker scrolls to the matching source list entry.</w:t>
      </w:r>
      <w:r>
        <w:t xml:space="preserve"> </w:t>
      </w:r>
      <w:r>
        <w:t xml:space="preserve">Implemented as a single vanilla-JS file (</w:t>
      </w:r>
      <w:r>
        <w:rPr>
          <w:rStyle w:val="VerbatimChar"/>
        </w:rPr>
        <w:t xml:space="preserve">citation-popover.js</w:t>
      </w:r>
      <w:r>
        <w:t xml:space="preserve">) with no build</w:t>
      </w:r>
      <w:r>
        <w:t xml:space="preserve"> </w:t>
      </w:r>
      <w:r>
        <w:t xml:space="preserve">step; uses Bootstrap 5 popovers (already in the theme).</w:t>
      </w:r>
    </w:p>
    <w:bookmarkEnd w:id="39"/>
    <w:bookmarkStart w:id="40" w:name="researcher-notebooks"/>
    <w:p>
      <w:pPr>
        <w:pStyle w:val="Heading3"/>
      </w:pPr>
      <w:r>
        <w:t xml:space="preserve">Researcher notebooks</w:t>
      </w:r>
    </w:p>
    <w:p>
      <w:pPr>
        <w:pStyle w:val="FirstParagraph"/>
      </w:pPr>
      <w:r>
        <w:t xml:space="preserve">A new researcher-owned scratchpad. Each notebook collects: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Saved queries</w:t>
      </w:r>
      <w:r>
        <w:t xml:space="preserve"> </w:t>
      </w:r>
      <w:r>
        <w:t xml:space="preserve">(search expressions worth re-running)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outputs</w:t>
      </w:r>
      <w:r>
        <w:t xml:space="preserve"> </w:t>
      </w:r>
      <w:r>
        <w:t xml:space="preserve">(raw model responses worth keeping)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Source pins</w:t>
      </w:r>
      <w:r>
        <w:t xml:space="preserve"> </w:t>
      </w:r>
      <w:r>
        <w:t xml:space="preserve">(information objects to revisit)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Freeform notes</w:t>
      </w:r>
    </w:p>
    <w:p>
      <w:pPr>
        <w:pStyle w:val="FirstParagraph"/>
      </w:pPr>
      <w:r>
        <w:t xml:space="preserve">Items can be pinned to the top, reordered, and removed. A one-click</w:t>
      </w:r>
      <w:r>
        <w:t xml:space="preserve"> </w:t>
      </w:r>
      <w:r>
        <w:rPr>
          <w:bCs/>
          <w:b/>
        </w:rPr>
        <w:t xml:space="preserve">Promote to project</w:t>
      </w:r>
      <w:r>
        <w:t xml:space="preserve"> </w:t>
      </w:r>
      <w:r>
        <w:t xml:space="preserve">action turns a notebook into a public research</w:t>
      </w:r>
      <w:r>
        <w:t xml:space="preserve"> </w:t>
      </w:r>
      <w:r>
        <w:t xml:space="preserve">project: it creates the</w:t>
      </w:r>
      <w:r>
        <w:t xml:space="preserve"> </w:t>
      </w:r>
      <w:r>
        <w:rPr>
          <w:rStyle w:val="VerbatimChar"/>
        </w:rPr>
        <w:t xml:space="preserve">research_project</w:t>
      </w:r>
      <w:r>
        <w:t xml:space="preserve"> </w:t>
      </w:r>
      <w:r>
        <w:t xml:space="preserve">row, the owner-collaborator</w:t>
      </w:r>
      <w:r>
        <w:t xml:space="preserve"> </w:t>
      </w:r>
      <w:r>
        <w:t xml:space="preserve">record, a new collection seeded with the pinned sources, and marks the</w:t>
      </w:r>
      <w:r>
        <w:t xml:space="preserve"> </w:t>
      </w:r>
      <w:r>
        <w:t xml:space="preserve">notebook as promoted (idempotent — re-promotion returns the original</w:t>
      </w:r>
      <w:r>
        <w:t xml:space="preserve"> </w:t>
      </w:r>
      <w:r>
        <w:t xml:space="preserve">project id).</w:t>
      </w:r>
    </w:p>
    <w:bookmarkEnd w:id="40"/>
    <w:bookmarkStart w:id="41" w:name="cross-fonds-reasoning-queries"/>
    <w:p>
      <w:pPr>
        <w:pStyle w:val="Heading3"/>
      </w:pPr>
      <w:r>
        <w:t xml:space="preserve">Cross-fonds reasoning queries</w:t>
      </w:r>
    </w:p>
    <w:p>
      <w:pPr>
        <w:pStyle w:val="FirstParagraph"/>
      </w:pPr>
      <w:r>
        <w:t xml:space="preserve">A single query is fanned out across N selected fonds in parallel. Each</w:t>
      </w:r>
      <w:r>
        <w:t xml:space="preserve"> </w:t>
      </w:r>
      <w:r>
        <w:t xml:space="preserve">fonds is queried via its</w:t>
      </w:r>
      <w:r>
        <w:t xml:space="preserve"> </w:t>
      </w:r>
      <w:r>
        <w:rPr>
          <w:rStyle w:val="VerbatimChar"/>
        </w:rPr>
        <w:t xml:space="preserve">lft</w:t>
      </w:r>
      <w:r>
        <w:t xml:space="preserve">/</w:t>
      </w:r>
      <w:r>
        <w:rPr>
          <w:rStyle w:val="VerbatimChar"/>
        </w:rPr>
        <w:t xml:space="preserve">rgt</w:t>
      </w:r>
      <w:r>
        <w:t xml:space="preserve"> </w:t>
      </w:r>
      <w:r>
        <w:t xml:space="preserve">MPTT range; per-fonds top-K hits are</w:t>
      </w:r>
      <w:r>
        <w:t xml:space="preserve"> </w:t>
      </w:r>
      <w:r>
        <w:t xml:space="preserve">merged and reranked by score; a single ranked list is returned. Optional</w:t>
      </w:r>
      <w:r>
        <w:t xml:space="preserve"> </w:t>
      </w:r>
      <w:r>
        <w:t xml:space="preserve">thesaurus expansion via</w:t>
      </w:r>
      <w:r>
        <w:t xml:space="preserve"> </w:t>
      </w:r>
      <w:r>
        <w:rPr>
          <w:rStyle w:val="VerbatimChar"/>
        </w:rPr>
        <w:t xml:space="preserve">SemanticSearchService::expandQuery()</w:t>
      </w:r>
      <w:r>
        <w:t xml:space="preserve"> </w:t>
      </w:r>
      <w:r>
        <w:t xml:space="preserve">widens</w:t>
      </w:r>
      <w:r>
        <w:t xml:space="preserve"> </w:t>
      </w:r>
      <w:r>
        <w:t xml:space="preserve">queries when enabled.</w:t>
      </w:r>
    </w:p>
    <w:p>
      <w:pPr>
        <w:pStyle w:val="BodyText"/>
      </w:pPr>
      <w:r>
        <w:t xml:space="preserve">Per-fonds K is 10; final K is 30 — both configurable. Query history is</w:t>
      </w:r>
      <w:r>
        <w:t xml:space="preserve"> </w:t>
      </w:r>
      <w:r>
        <w:t xml:space="preserve">persisted to</w:t>
      </w:r>
      <w:r>
        <w:t xml:space="preserve"> </w:t>
      </w:r>
      <w:r>
        <w:rPr>
          <w:rStyle w:val="VerbatimChar"/>
        </w:rPr>
        <w:t xml:space="preserve">research_cross_fonds_query</w:t>
      </w:r>
      <w:r>
        <w:t xml:space="preserve"> </w:t>
      </w:r>
      <w:r>
        <w:t xml:space="preserve">for analytics and audit.</w:t>
      </w:r>
    </w:p>
    <w:bookmarkEnd w:id="41"/>
    <w:bookmarkStart w:id="42" w:name="research-analytics-dashboard"/>
    <w:p>
      <w:pPr>
        <w:pStyle w:val="Heading3"/>
      </w:pPr>
      <w:r>
        <w:t xml:space="preserve">Research analytics dashboard</w:t>
      </w:r>
    </w:p>
    <w:p>
      <w:pPr>
        <w:pStyle w:val="FirstParagraph"/>
      </w:pPr>
      <w:r>
        <w:t xml:space="preserve">A new date-filtered dashboard at</w:t>
      </w:r>
      <w:r>
        <w:t xml:space="preserve"> </w:t>
      </w:r>
      <w:r>
        <w:rPr>
          <w:rStyle w:val="VerbatimChar"/>
        </w:rPr>
        <w:t xml:space="preserve">/research/analytics</w:t>
      </w:r>
      <w:r>
        <w:t xml:space="preserve"> </w:t>
      </w:r>
      <w:r>
        <w:t xml:space="preserve">aggregates the</w:t>
      </w:r>
      <w:r>
        <w:t xml:space="preserve"> </w:t>
      </w:r>
      <w:r>
        <w:t xml:space="preserve">already-logged</w:t>
      </w:r>
      <w:r>
        <w:t xml:space="preserve"> </w:t>
      </w:r>
      <w:r>
        <w:rPr>
          <w:rStyle w:val="VerbatimChar"/>
        </w:rPr>
        <w:t xml:space="preserve">research_activity_log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research_citation_log</w:t>
      </w:r>
      <w:r>
        <w:t xml:space="preserve"> </w:t>
      </w:r>
      <w:r>
        <w:t xml:space="preserve">tables</w:t>
      </w:r>
      <w:r>
        <w:t xml:space="preserve"> </w:t>
      </w:r>
      <w:r>
        <w:t xml:space="preserve">into: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Eight KPI tiles</w:t>
      </w:r>
      <w:r>
        <w:t xml:space="preserve">: total events, researchers, objects, views, searches, citations, downloads, annotations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Daily volume bar chart</w:t>
      </w:r>
      <w:r>
        <w:t xml:space="preserve"> </w:t>
      </w:r>
      <w:r>
        <w:t xml:space="preserve">(inline divs — no Chart.js dependency)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Top researchers</w:t>
      </w:r>
      <w:r>
        <w:t xml:space="preserve">,</w:t>
      </w:r>
      <w:r>
        <w:t xml:space="preserve"> </w:t>
      </w:r>
      <w:r>
        <w:rPr>
          <w:bCs/>
          <w:b/>
        </w:rPr>
        <w:t xml:space="preserve">popular descriptions</w:t>
      </w:r>
      <w:r>
        <w:t xml:space="preserve">,</w:t>
      </w:r>
      <w:r>
        <w:t xml:space="preserve"> </w:t>
      </w:r>
      <w:r>
        <w:rPr>
          <w:bCs/>
          <w:b/>
        </w:rPr>
        <w:t xml:space="preserve">popular collections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Top search terms</w:t>
      </w:r>
      <w:r>
        <w:t xml:space="preserve">,</w:t>
      </w:r>
      <w:r>
        <w:t xml:space="preserve"> </w:t>
      </w:r>
      <w:r>
        <w:rPr>
          <w:bCs/>
          <w:b/>
        </w:rPr>
        <w:t xml:space="preserve">citations by style/format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Day-of-week distribution</w:t>
      </w:r>
    </w:p>
    <w:p>
      <w:pPr>
        <w:pStyle w:val="FirstParagraph"/>
      </w:pPr>
      <w:r>
        <w:t xml:space="preserve">No new audit tables; the data is already being logged by existing actions.</w:t>
      </w:r>
      <w:r>
        <w:t xml:space="preserve"> </w:t>
      </w:r>
      <w:r>
        <w:t xml:space="preserve">New activity types added:</w:t>
      </w:r>
      <w:r>
        <w:t xml:space="preserve"> </w:t>
      </w:r>
      <w:r>
        <w:rPr>
          <w:rStyle w:val="VerbatimChar"/>
        </w:rPr>
        <w:t xml:space="preserve">ai_studio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search_cross_fonds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notebook_item_added</w:t>
      </w:r>
      <w:r>
        <w:t xml:space="preserve">,</w:t>
      </w:r>
      <w:r>
        <w:t xml:space="preserve"> </w:t>
      </w:r>
      <w:r>
        <w:rPr>
          <w:rStyle w:val="VerbatimChar"/>
        </w:rPr>
        <w:t xml:space="preserve">cite_export</w:t>
      </w:r>
      <w:r>
        <w:t xml:space="preserve">.</w:t>
      </w:r>
    </w:p>
    <w:bookmarkEnd w:id="42"/>
    <w:bookmarkStart w:id="43" w:name="real-time-collaboration-polling"/>
    <w:p>
      <w:pPr>
        <w:pStyle w:val="Heading3"/>
      </w:pPr>
      <w:r>
        <w:t xml:space="preserve">Real-time collaboration (polling)</w:t>
      </w:r>
    </w:p>
    <w:p>
      <w:pPr>
        <w:pStyle w:val="FirstParagraph"/>
      </w:pPr>
      <w:r>
        <w:t xml:space="preserve">Project-scoped live collaboration without a WebSocket broker: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Presence indicators</w:t>
      </w:r>
      <w:r>
        <w:t xml:space="preserve"> </w:t>
      </w:r>
      <w:r>
        <w:t xml:space="preserve">— each active collaborator gets a distinct colour</w:t>
      </w:r>
      <w:r>
        <w:t xml:space="preserve"> </w:t>
      </w:r>
      <w:r>
        <w:t xml:space="preserve">and appears in the</w:t>
      </w:r>
      <w:r>
        <w:t xml:space="preserve"> </w:t>
      </w:r>
      <w:r>
        <w:t xml:space="preserve">“</w:t>
      </w:r>
      <w:r>
        <w:t xml:space="preserve">Online now</w:t>
      </w:r>
      <w:r>
        <w:t xml:space="preserve">”</w:t>
      </w:r>
      <w:r>
        <w:t xml:space="preserve"> </w:t>
      </w:r>
      <w:r>
        <w:t xml:space="preserve">list. Stale entries (90 s without a</w:t>
      </w:r>
      <w:r>
        <w:t xml:space="preserve"> </w:t>
      </w:r>
      <w:r>
        <w:t xml:space="preserve">heartbeat) are dropped automatically.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Threaded project comments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resolve</w:t>
      </w:r>
      <w:r>
        <w:t xml:space="preserve"> </w:t>
      </w:r>
      <w:r>
        <w:t xml:space="preserve">workflow. Reuses the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research_comment</w:t>
      </w:r>
      <w:r>
        <w:t xml:space="preserve"> </w:t>
      </w:r>
      <w:r>
        <w:t xml:space="preserve">polymorphic table (</w:t>
      </w:r>
      <w:r>
        <w:rPr>
          <w:rStyle w:val="VerbatimChar"/>
        </w:rPr>
        <w:t xml:space="preserve">entity_type='project'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3 s polling cadence</w:t>
      </w:r>
      <w:r>
        <w:t xml:space="preserve"> </w:t>
      </w:r>
      <w:r>
        <w:t xml:space="preserve">with a comment-id cursor; both presence and new</w:t>
      </w:r>
      <w:r>
        <w:t xml:space="preserve"> </w:t>
      </w:r>
      <w:r>
        <w:t xml:space="preserve">comments come back in a single round-trip.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Shared IIIF annotations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research_annotation</w:t>
      </w:r>
      <w:r>
        <w:t xml:space="preserve"> </w:t>
      </w:r>
      <w:r>
        <w:t xml:space="preserve">already has</w:t>
      </w:r>
      <w:r>
        <w:t xml:space="preserve"> </w:t>
      </w:r>
      <w:r>
        <w:rPr>
          <w:rStyle w:val="VerbatimChar"/>
        </w:rPr>
        <w:t xml:space="preserve">project_id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visibility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), so collaborators on the</w:t>
      </w:r>
      <w:r>
        <w:t xml:space="preserve"> </w:t>
      </w:r>
      <w:r>
        <w:t xml:space="preserve">same project see each other’s shared annotations on the same canvas.</w:t>
      </w:r>
    </w:p>
    <w:p>
      <w:pPr>
        <w:pStyle w:val="FirstParagraph"/>
      </w:pPr>
      <w:r>
        <w:t xml:space="preserve">The polling architecture allows a Reverb/Pusher swap-in later if a broker</w:t>
      </w:r>
      <w:r>
        <w:t xml:space="preserve"> </w:t>
      </w:r>
      <w:r>
        <w:t xml:space="preserve">becomes available.</w:t>
      </w:r>
    </w:p>
    <w:bookmarkEnd w:id="43"/>
    <w:bookmarkStart w:id="44" w:name="per-record-citation-manager-export"/>
    <w:p>
      <w:pPr>
        <w:pStyle w:val="Heading3"/>
      </w:pPr>
      <w:r>
        <w:t xml:space="preserve">Per-record citation manager export</w:t>
      </w:r>
    </w:p>
    <w:p>
      <w:pPr>
        <w:pStyle w:val="FirstParagraph"/>
      </w:pPr>
      <w:r>
        <w:t xml:space="preserve">In addition to the existing styled citation card (Chicago / MLA / Turabian</w:t>
      </w:r>
      <w:r>
        <w:t xml:space="preserve"> </w:t>
      </w:r>
      <w:r>
        <w:t xml:space="preserve">/ APA / Harvard / UNISA), each record now has a</w:t>
      </w:r>
      <w:r>
        <w:t xml:space="preserve"> </w:t>
      </w:r>
      <w:r>
        <w:rPr>
          <w:bCs/>
          <w:b/>
        </w:rPr>
        <w:t xml:space="preserve">Copy in citation</w:t>
      </w:r>
      <w:r>
        <w:rPr>
          <w:bCs/>
          <w:b/>
        </w:rPr>
        <w:t xml:space="preserve"> </w:t>
      </w:r>
      <w:r>
        <w:rPr>
          <w:bCs/>
          <w:b/>
        </w:rPr>
        <w:t xml:space="preserve">manager format</w:t>
      </w:r>
      <w:r>
        <w:t xml:space="preserve"> </w:t>
      </w:r>
      <w:r>
        <w:t xml:space="preserve">card with six file-format downloads: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Zotero, Mendeley, EndNote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BibTeX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LaTeX, JabRef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EndNote 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EndNote 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Plain-text APA citation for paste-into-essay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MLA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Plain-text MLA 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Chicago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Plain-text Chicago Notes-Bibliography</w:t>
            </w:r>
          </w:p>
        </w:tc>
      </w:tr>
    </w:tbl>
    <w:p>
      <w:pPr>
        <w:pStyle w:val="BodyText"/>
      </w:pPr>
      <w:r>
        <w:t xml:space="preserve">Each download is a real file with the correct MIME 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application/x-research-info-systems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application/x-bibtex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application/xml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text/plain</w:t>
      </w:r>
      <w:r>
        <w:t xml:space="preserve">) and a slug-derived filename.</w:t>
      </w:r>
    </w:p>
    <w:bookmarkEnd w:id="44"/>
    <w:bookmarkStart w:id="45" w:name="orcid-works-push-and-pull"/>
    <w:p>
      <w:pPr>
        <w:pStyle w:val="Heading3"/>
      </w:pPr>
      <w:r>
        <w:t xml:space="preserve">ORCID Works push and pull</w:t>
      </w:r>
    </w:p>
    <w:p>
      <w:pPr>
        <w:pStyle w:val="FirstParagraph"/>
      </w:pPr>
      <w:r>
        <w:t xml:space="preserve">The existing ORCID OAuth flow now supports two new operations: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Pull works</w:t>
      </w:r>
      <w:r>
        <w:t xml:space="preserve"> </w:t>
      </w:r>
      <w:r>
        <w:t xml:space="preserve">— fetch the researcher’s complete works list from ORCID</w:t>
      </w:r>
      <w:r>
        <w:t xml:space="preserve"> </w:t>
      </w:r>
      <w:r>
        <w:t xml:space="preserve">with put-codes, titles, years, journals, DOIs, types.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Push work</w:t>
      </w:r>
      <w:r>
        <w:t xml:space="preserve"> </w:t>
      </w:r>
      <w:r>
        <w:t xml:space="preserve">— create a new ORCID Work record from a local citation,</w:t>
      </w:r>
      <w:r>
        <w:t xml:space="preserve"> </w:t>
      </w:r>
      <w:r>
        <w:t xml:space="preserve">returning the new put-code.</w:t>
      </w:r>
    </w:p>
    <w:p>
      <w:pPr>
        <w:pStyle w:val="FirstParagraph"/>
      </w:pPr>
      <w:r>
        <w:t xml:space="preserve">Access tokens are persisted to</w:t>
      </w:r>
      <w:r>
        <w:t xml:space="preserve"> </w:t>
      </w:r>
      <w:r>
        <w:rPr>
          <w:rStyle w:val="VerbatimChar"/>
        </w:rPr>
        <w:t xml:space="preserve">research_orcid_link</w:t>
      </w:r>
      <w:r>
        <w:t xml:space="preserve"> </w:t>
      </w:r>
      <w:r>
        <w:t xml:space="preserve">with AES-256-CBC</w:t>
      </w:r>
      <w:r>
        <w:t xml:space="preserve"> </w:t>
      </w:r>
      <w:r>
        <w:t xml:space="preserve">encryption keyed off</w:t>
      </w:r>
      <w:r>
        <w:t xml:space="preserve"> </w:t>
      </w:r>
      <w:r>
        <w:rPr>
          <w:rStyle w:val="VerbatimChar"/>
        </w:rPr>
        <w:t xml:space="preserve">sf_app_secret</w:t>
      </w:r>
      <w:r>
        <w:t xml:space="preserve">. The</w:t>
      </w:r>
      <w:r>
        <w:t xml:space="preserve"> </w:t>
      </w:r>
      <w:r>
        <w:t xml:space="preserve">“</w:t>
      </w:r>
      <w:r>
        <w:t xml:space="preserve">Connect / linked / unlinked</w:t>
      </w:r>
      <w:r>
        <w:t xml:space="preserve">”</w:t>
      </w:r>
      <w:r>
        <w:t xml:space="preserve"> </w:t>
      </w:r>
      <w:r>
        <w:t xml:space="preserve">status page mirrors the Laravel side.</w:t>
      </w:r>
    </w:p>
    <w:bookmarkEnd w:id="45"/>
    <w:bookmarkStart w:id="46" w:name="mobile-pwa-shell"/>
    <w:p>
      <w:pPr>
        <w:pStyle w:val="Heading3"/>
      </w:pPr>
      <w:r>
        <w:t xml:space="preserve">Mobile / PWA shell</w:t>
      </w:r>
    </w:p>
    <w:p>
      <w:pPr>
        <w:pStyle w:val="FirstParagraph"/>
      </w:pPr>
      <w:r>
        <w:t xml:space="preserve">A phone-first researcher home at</w:t>
      </w:r>
      <w:r>
        <w:t xml:space="preserve"> </w:t>
      </w:r>
      <w:r>
        <w:rPr>
          <w:rStyle w:val="VerbatimChar"/>
        </w:rPr>
        <w:t xml:space="preserve">/research/mobile</w:t>
      </w:r>
      <w:r>
        <w:t xml:space="preserve"> </w:t>
      </w:r>
      <w:r>
        <w:t xml:space="preserve">with: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Reading list</w:t>
      </w:r>
      <w:r>
        <w:t xml:space="preserve"> </w:t>
      </w:r>
      <w:r>
        <w:t xml:space="preserve">— most-recent 50 collection items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4-button grid</w:t>
      </w:r>
      <w:r>
        <w:t xml:space="preserve"> </w:t>
      </w:r>
      <w:r>
        <w:t xml:space="preserve">— Search, Notebooks, Bibliographies, Journal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Quick journal entry</w:t>
      </w:r>
      <w:r>
        <w:t xml:space="preserve"> </w:t>
      </w:r>
      <w:r>
        <w:t xml:space="preserve">form that works offline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Online / offline badge</w:t>
      </w:r>
      <w:r>
        <w:t xml:space="preserve"> </w:t>
      </w:r>
      <w:r>
        <w:t xml:space="preserve">that reacts to</w:t>
      </w:r>
      <w:r>
        <w:t xml:space="preserve"> </w:t>
      </w:r>
      <w:r>
        <w:rPr>
          <w:rStyle w:val="VerbatimChar"/>
        </w:rPr>
        <w:t xml:space="preserve">navigator.onLine</w:t>
      </w:r>
    </w:p>
    <w:p>
      <w:pPr>
        <w:pStyle w:val="FirstParagraph"/>
      </w:pPr>
      <w:r>
        <w:t xml:space="preserve">A new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 </w:t>
      </w:r>
      <w:r>
        <w:t xml:space="preserve">at the AtoM web root let the</w:t>
      </w:r>
      <w:r>
        <w:t xml:space="preserve"> </w:t>
      </w:r>
      <w:r>
        <w:t xml:space="preserve">researcher install the portal as a standalone app on their phone</w:t>
      </w:r>
      <w:r>
        <w:t xml:space="preserve"> </w:t>
      </w:r>
      <w:r>
        <w:t xml:space="preserve">(</w:t>
      </w:r>
      <w:r>
        <w:t xml:space="preserve">“</w:t>
      </w:r>
      <w:r>
        <w:t xml:space="preserve">Add to home screen</w:t>
      </w:r>
      <w:r>
        <w:t xml:space="preserve">”</w:t>
      </w:r>
      <w:r>
        <w:t xml:space="preserve"> </w:t>
      </w:r>
      <w:r>
        <w:t xml:space="preserve">→ standalone mode).</w:t>
      </w:r>
    </w:p>
    <w:bookmarkEnd w:id="46"/>
    <w:bookmarkStart w:id="47" w:name="offline-mode-and-sync"/>
    <w:p>
      <w:pPr>
        <w:pStyle w:val="Heading3"/>
      </w:pPr>
      <w:r>
        <w:t xml:space="preserve">Offline mode and sync</w:t>
      </w:r>
    </w:p>
    <w:p>
      <w:pPr>
        <w:pStyle w:val="FirstParagraph"/>
      </w:pPr>
      <w:r>
        <w:t xml:space="preserve">When the device is offline, journal entries are buffered to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under the key</w:t>
      </w:r>
      <w:r>
        <w:t xml:space="preserve"> </w:t>
      </w:r>
      <w:r>
        <w:rPr>
          <w:rStyle w:val="VerbatimChar"/>
        </w:rPr>
        <w:t xml:space="preserve">heratio_offline_queue_v1</w:t>
      </w:r>
      <w:r>
        <w:t xml:space="preserve">. When the</w:t>
      </w:r>
      <w:r>
        <w:t xml:space="preserve"> </w:t>
      </w:r>
      <w:r>
        <w:t xml:space="preserve">device comes back online, the queue is POSTed to</w:t>
      </w:r>
      <w:r>
        <w:t xml:space="preserve"> </w:t>
      </w:r>
      <w:r>
        <w:rPr>
          <w:rStyle w:val="VerbatimChar"/>
        </w:rPr>
        <w:t xml:space="preserve">/research/sync/offline</w:t>
      </w:r>
      <w:r>
        <w:t xml:space="preserve"> </w:t>
      </w:r>
      <w:r>
        <w:t xml:space="preserve">and applied to either</w:t>
      </w:r>
      <w:r>
        <w:t xml:space="preserve"> </w:t>
      </w:r>
      <w:r>
        <w:rPr>
          <w:rStyle w:val="VerbatimChar"/>
        </w:rPr>
        <w:t xml:space="preserve">research_journal_entry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research_annotation</w:t>
      </w:r>
      <w:r>
        <w:t xml:space="preserve"> </w:t>
      </w:r>
      <w:r>
        <w:t xml:space="preserve">depending on the</w:t>
      </w:r>
      <w:r>
        <w:t xml:space="preserve"> </w:t>
      </w:r>
      <w:r>
        <w:t xml:space="preserve">entry’s</w:t>
      </w:r>
      <w:r>
        <w:t xml:space="preserve"> </w:t>
      </w:r>
      <w:r>
        <w:rPr>
          <w:rStyle w:val="VerbatimChar"/>
        </w:rPr>
        <w:t xml:space="preserve">kind</w:t>
      </w:r>
      <w:r>
        <w:t xml:space="preserve">. Sync metadata (queued count, applied count,</w:t>
      </w:r>
      <w:r>
        <w:t xml:space="preserve"> </w:t>
      </w:r>
      <w:r>
        <w:t xml:space="preserve">conflicts, payload hash) is persisted to a new</w:t>
      </w:r>
      <w:r>
        <w:t xml:space="preserve"> </w:t>
      </w:r>
      <w:r>
        <w:rPr>
          <w:rStyle w:val="VerbatimChar"/>
        </w:rPr>
        <w:t xml:space="preserve">research_offline_sync_log</w:t>
      </w:r>
      <w:r>
        <w:t xml:space="preserve"> </w:t>
      </w:r>
      <w:r>
        <w:t xml:space="preserve">table for audit.</w:t>
      </w:r>
    </w:p>
    <w:bookmarkEnd w:id="47"/>
    <w:bookmarkStart w:id="48" w:name="X14b34c8db5649ae6bed5c42c33100aa854608fc"/>
    <w:p>
      <w:pPr>
        <w:pStyle w:val="Heading3"/>
      </w:pPr>
      <w:r>
        <w:t xml:space="preserve">ResearcherView consolidated JSON endpoint</w:t>
      </w:r>
    </w:p>
    <w:p>
      <w:pPr>
        <w:pStyle w:val="FirstParagraph"/>
      </w:pPr>
      <w:r>
        <w:t xml:space="preserve">A single round-trip endpoint at</w:t>
      </w:r>
      <w:r>
        <w:t xml:space="preserve"> </w:t>
      </w:r>
      <w:r>
        <w:rPr>
          <w:rStyle w:val="VerbatimChar"/>
        </w:rPr>
        <w:t xml:space="preserve">/research/researcher-view/:id</w:t>
      </w:r>
      <w:r>
        <w:t xml:space="preserve"> </w:t>
      </w:r>
      <w:r>
        <w:t xml:space="preserve">returns a researcher’s public projects, recent shared annotations,</w:t>
      </w:r>
      <w:r>
        <w:t xml:space="preserve"> </w:t>
      </w:r>
      <w:r>
        <w:t xml:space="preserve">and ORCID-link summary in one JSON document. Designed for external</w:t>
      </w:r>
      <w:r>
        <w:t xml:space="preserve"> </w:t>
      </w:r>
      <w:r>
        <w:t xml:space="preserve">tools (Zotero, Tropy, LMS) that need to compose a researcher</w:t>
      </w:r>
      <w:r>
        <w:t xml:space="preserve"> </w:t>
      </w:r>
      <w:r>
        <w:t xml:space="preserve">dashboard without making 5+ separate calls.</w:t>
      </w:r>
    </w:p>
    <w:bookmarkEnd w:id="48"/>
    <w:bookmarkStart w:id="49" w:name="schema-additions"/>
    <w:p>
      <w:pPr>
        <w:pStyle w:val="Heading3"/>
      </w:pPr>
      <w:r>
        <w:t xml:space="preserve">Schema additions</w:t>
      </w:r>
    </w:p>
    <w:p>
      <w:pPr>
        <w:pStyle w:val="FirstParagraph"/>
      </w:pPr>
      <w:r>
        <w:t xml:space="preserve">Eight new tables (all</w:t>
      </w:r>
      <w:r>
        <w:t xml:space="preserve"> </w:t>
      </w:r>
      <w:r>
        <w:rPr>
          <w:rStyle w:val="VerbatimChar"/>
        </w:rPr>
        <w:t xml:space="preserve">IF NOT EXISTS</w:t>
      </w:r>
      <w:r>
        <w:t xml:space="preserve">-idempotent in</w:t>
      </w:r>
      <w:r>
        <w:t xml:space="preserve"> </w:t>
      </w:r>
      <w:r>
        <w:rPr>
          <w:rStyle w:val="VerbatimChar"/>
        </w:rPr>
        <w:t xml:space="preserve">database/migrations/2026_05_16_research_enhancements.sql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research_studio_artefact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LLM-generated artefacts with body, citations JSON, model + tokens + 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research_notebook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 scratchpad metadata + promote-to-project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research_notebook_item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 items (saved_query, ai_output, source_pin, note)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research_cross_fonds_query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Cross-fonds query history with elapsed time + result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research_collaboration_session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session bookkeeping (start/end times per project)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research_collaboration_presence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Per-researcher presence row with cursor target + colour + last-seen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research_orcid_link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ORCID tokens + scope + last-sync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research_offline_sync_log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run audit (queued / applied / conflicts / payload hash)</w:t>
            </w:r>
          </w:p>
        </w:tc>
      </w:tr>
    </w:tbl>
    <w:p>
      <w:pPr>
        <w:pStyle w:val="BodyText"/>
      </w:pPr>
      <w:r>
        <w:t xml:space="preserve">The polymorphic</w:t>
      </w:r>
      <w:r>
        <w:t xml:space="preserve"> </w:t>
      </w:r>
      <w:r>
        <w:rPr>
          <w:rStyle w:val="VerbatimChar"/>
        </w:rPr>
        <w:t xml:space="preserve">research_comment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research_annotation</w:t>
      </w:r>
      <w:r>
        <w:t xml:space="preserve"> </w:t>
      </w:r>
      <w:r>
        <w:t xml:space="preserve">tables</w:t>
      </w:r>
      <w:r>
        <w:t xml:space="preserve"> </w:t>
      </w:r>
      <w:r>
        <w:t xml:space="preserve">already had the columns needed for collaboration and shared</w:t>
      </w:r>
      <w:r>
        <w:t xml:space="preserve"> </w:t>
      </w:r>
      <w:r>
        <w:t xml:space="preserve">annotations, so no new comment or annotation tables were added.</w:t>
      </w:r>
    </w:p>
    <w:bookmarkEnd w:id="49"/>
    <w:bookmarkStart w:id="50" w:name="operational-notes"/>
    <w:p>
      <w:pPr>
        <w:pStyle w:val="Heading3"/>
      </w:pPr>
      <w:r>
        <w:t xml:space="preserve">Operational notes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TTS endpoint</w:t>
      </w:r>
      <w:r>
        <w:t xml:space="preserve"> </w:t>
      </w:r>
      <w:r>
        <w:t xml:space="preserve">is operator-configurable via</w:t>
      </w:r>
      <w:r>
        <w:t xml:space="preserve"> </w:t>
      </w:r>
      <w:r>
        <w:rPr>
          <w:rStyle w:val="VerbatimChar"/>
        </w:rPr>
        <w:t xml:space="preserve">app_ahg_tts_endpoint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apps/qubit/config/app.yml</w:t>
      </w:r>
      <w:r>
        <w:t xml:space="preserve">. When unset, audio artefacts fall</w:t>
      </w:r>
      <w:r>
        <w:t xml:space="preserve"> </w:t>
      </w:r>
      <w:r>
        <w:t xml:space="preserve">back to script-only with the transcript persisted for manual TTS</w:t>
      </w:r>
      <w:r>
        <w:t xml:space="preserve"> </w:t>
      </w:r>
      <w:r>
        <w:t xml:space="preserve">hand-off — never a 500.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ORCID</w:t>
      </w:r>
      <w:r>
        <w:t xml:space="preserve"> </w:t>
      </w:r>
      <w:r>
        <w:t xml:space="preserve">is operator-configurable via</w:t>
      </w:r>
      <w:r>
        <w:t xml:space="preserve"> </w:t>
      </w:r>
      <w:r>
        <w:rPr>
          <w:rStyle w:val="VerbatimChar"/>
        </w:rPr>
        <w:t xml:space="preserve">app_orcid_client_id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app_orcid_client_secret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app_orcid_redirect_uri</w:t>
      </w:r>
      <w:r>
        <w:t xml:space="preserve">. When unset,</w:t>
      </w:r>
      <w:r>
        <w:t xml:space="preserve"> </w:t>
      </w:r>
      <w:r>
        <w:t xml:space="preserve">the ORCID page shows a clean</w:t>
      </w:r>
      <w:r>
        <w:t xml:space="preserve"> </w:t>
      </w:r>
      <w:r>
        <w:t xml:space="preserve">“</w:t>
      </w:r>
      <w:r>
        <w:t xml:space="preserve">not configured</w:t>
      </w:r>
      <w:r>
        <w:t xml:space="preserve">”</w:t>
      </w:r>
      <w:r>
        <w:t xml:space="preserve"> </w:t>
      </w:r>
      <w:r>
        <w:t xml:space="preserve">alert listing the</w:t>
      </w:r>
      <w:r>
        <w:t xml:space="preserve"> </w:t>
      </w:r>
      <w:r>
        <w:t xml:space="preserve">exact ENV keys.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php-fpm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ReadWritePaths=/usr/share/nginx/archive/cache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ReadWritePaths=/usr/share/nginx/archive/log</w:t>
      </w:r>
      <w:r>
        <w:t xml:space="preserve"> </w:t>
      </w:r>
      <w:r>
        <w:t xml:space="preserve">in its drop-in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ProtectSystem=full</w:t>
      </w:r>
      <w:r>
        <w:t xml:space="preserve"> </w:t>
      </w:r>
      <w:r>
        <w:t xml:space="preserve">is set (the host-level requirement is</w:t>
      </w:r>
      <w:r>
        <w:t xml:space="preserve"> </w:t>
      </w:r>
      <w:r>
        <w:t xml:space="preserve">documented in the project CLAUDE.md).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accessibility-wcag-2.1-aa"/>
    <w:p>
      <w:pPr>
        <w:pStyle w:val="Heading2"/>
      </w:pPr>
      <w:r>
        <w:t xml:space="preserve">Accessibility (WCAG 2.1 AA)</w:t>
      </w:r>
    </w:p>
    <w:p>
      <w:pPr>
        <w:pStyle w:val="FirstParagraph"/>
      </w:pPr>
      <w:r>
        <w:t xml:space="preserve">The Research Portal is designed for accessibility compliance across all screens: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Skip navigation</w:t>
      </w:r>
      <w:r>
        <w:t xml:space="preserve"> </w:t>
      </w:r>
      <w:r>
        <w:t xml:space="preserve">on every page for keyboard and screen reader users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ARIA live regions</w:t>
      </w:r>
      <w:r>
        <w:t xml:space="preserve"> </w:t>
      </w:r>
      <w:r>
        <w:t xml:space="preserve">announce dynamic content changes to screen readers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Data tables</w:t>
      </w:r>
      <w:r>
        <w:t xml:space="preserve"> </w:t>
      </w:r>
      <w:r>
        <w:t xml:space="preserve">with proper headers, captions, and scope attributes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Status badges</w:t>
      </w:r>
      <w:r>
        <w:t xml:space="preserve"> </w:t>
      </w:r>
      <w:r>
        <w:t xml:space="preserve">use icons and text alongside colour (never colour alone)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Keyboard navigation</w:t>
      </w:r>
      <w:r>
        <w:t xml:space="preserve"> </w:t>
      </w:r>
      <w:r>
        <w:t xml:space="preserve">for all interactive elements with visible focus indicators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Form validation</w:t>
      </w:r>
      <w:r>
        <w:t xml:space="preserve"> </w:t>
      </w:r>
      <w:r>
        <w:t xml:space="preserve">with programmatic error association and alert roles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Decorative icons</w:t>
      </w:r>
      <w:r>
        <w:t xml:space="preserve"> </w:t>
      </w:r>
      <w:r>
        <w:t xml:space="preserve">hidden from screen readers via</w:t>
      </w:r>
      <w:r>
        <w:t xml:space="preserve"> </w:t>
      </w:r>
      <w:r>
        <w:rPr>
          <w:rStyle w:val="VerbatimChar"/>
        </w:rPr>
        <w:t xml:space="preserve">aria-hidden</w:t>
      </w:r>
    </w:p>
    <w:p>
      <w:r>
        <w:pict>
          <v:rect style="width:0;height:1.5pt" o:hralign="center" o:hrstd="t" o:hr="t"/>
        </w:pict>
      </w:r>
    </w:p>
    <w:bookmarkEnd w:id="52"/>
    <w:bookmarkStart w:id="53" w:name="compliance-and-standards"/>
    <w:p>
      <w:pPr>
        <w:pStyle w:val="Heading2"/>
      </w:pPr>
      <w:r>
        <w:t xml:space="preserve">Compliance and Standards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WCAG 2.1 Level 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screens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Collections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Location and Movement Control (via custody/movement integration)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W3C Web 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 data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and annotation interoperability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RO-Crate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object packaging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DataCite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minting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rights policy language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technical-requirements"/>
    <w:p>
      <w:pPr>
        <w:pStyle w:val="Heading2"/>
      </w:pPr>
      <w:r>
        <w:t xml:space="preserve">Technical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 2.10 with AtoM Heratio Framework v2.8.2+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90+, Firefox 90+, Safari 14+, Edge 90+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5 (included), Font Awesome 6 (included)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database-footprint"/>
    <w:p>
      <w:pPr>
        <w:pStyle w:val="Heading2"/>
      </w:pPr>
      <w:r>
        <w:t xml:space="preserve">Database Footprint</w:t>
      </w:r>
    </w:p>
    <w:p>
      <w:pPr>
        <w:pStyle w:val="FirstParagraph"/>
      </w:pPr>
      <w:r>
        <w:t xml:space="preserve">The Research Portal uses 80+ dedicated database tables (no modifications to core AtoM tables). Key tables include:</w:t>
      </w:r>
    </w:p>
    <w:p>
      <w:pPr>
        <w:numPr>
          <w:ilvl w:val="0"/>
          <w:numId w:val="1009"/>
        </w:numPr>
        <w:pStyle w:val="Compact"/>
      </w:pPr>
      <w:r>
        <w:t xml:space="preserve">Researcher management (registration, types, audit)</w:t>
      </w:r>
    </w:p>
    <w:p>
      <w:pPr>
        <w:numPr>
          <w:ilvl w:val="0"/>
          <w:numId w:val="1009"/>
        </w:numPr>
        <w:pStyle w:val="Compact"/>
      </w:pPr>
      <w:r>
        <w:t xml:space="preserve">Reading room configuration (rooms, seats, bookings, equipment, equipment maintenance)</w:t>
      </w:r>
    </w:p>
    <w:p>
      <w:pPr>
        <w:numPr>
          <w:ilvl w:val="0"/>
          <w:numId w:val="1009"/>
        </w:numPr>
        <w:pStyle w:val="Compact"/>
      </w:pPr>
      <w:r>
        <w:t xml:space="preserve">Material requests (retrieval queue, scheduling, status history)</w:t>
      </w:r>
    </w:p>
    <w:p>
      <w:pPr>
        <w:numPr>
          <w:ilvl w:val="0"/>
          <w:numId w:val="1009"/>
        </w:numPr>
        <w:pStyle w:val="Compact"/>
      </w:pPr>
      <w:r>
        <w:t xml:space="preserve">Custody tracking (handoff records, Collections Procedures movement integration)</w:t>
      </w:r>
    </w:p>
    <w:p>
      <w:pPr>
        <w:numPr>
          <w:ilvl w:val="0"/>
          <w:numId w:val="1009"/>
        </w:numPr>
        <w:pStyle w:val="Compact"/>
      </w:pPr>
      <w:r>
        <w:t xml:space="preserve">Reproduction workflow (requests, items, files, invoices)</w:t>
      </w:r>
    </w:p>
    <w:p>
      <w:pPr>
        <w:numPr>
          <w:ilvl w:val="0"/>
          <w:numId w:val="1009"/>
        </w:numPr>
        <w:pStyle w:val="Compact"/>
      </w:pPr>
      <w:r>
        <w:t xml:space="preserve">Correspondence (threaded messaging with internal notes)</w:t>
      </w:r>
    </w:p>
    <w:p>
      <w:pPr>
        <w:numPr>
          <w:ilvl w:val="0"/>
          <w:numId w:val="1009"/>
        </w:numPr>
        <w:pStyle w:val="Compact"/>
      </w:pPr>
      <w:r>
        <w:t xml:space="preserve">Collections, annotations, projects, workspaces</w:t>
      </w:r>
    </w:p>
    <w:p>
      <w:pPr>
        <w:numPr>
          <w:ilvl w:val="0"/>
          <w:numId w:val="1009"/>
        </w:numPr>
        <w:pStyle w:val="Compact"/>
      </w:pPr>
      <w:r>
        <w:t xml:space="preserve">AI extraction, validation, entity resolution</w:t>
      </w:r>
    </w:p>
    <w:p>
      <w:pPr>
        <w:numPr>
          <w:ilvl w:val="0"/>
          <w:numId w:val="1009"/>
        </w:numPr>
        <w:pStyle w:val="Compact"/>
      </w:pPr>
      <w:r>
        <w:t xml:space="preserve">Reports, snapshots, bibliographies</w:t>
      </w:r>
    </w:p>
    <w:p>
      <w:pPr>
        <w:numPr>
          <w:ilvl w:val="0"/>
          <w:numId w:val="1009"/>
        </w:numPr>
        <w:pStyle w:val="Compact"/>
      </w:pPr>
      <w:r>
        <w:t xml:space="preserve">ODRL policies and access decisions (enforcement audit trail)</w:t>
      </w:r>
    </w:p>
    <w:p>
      <w:pPr>
        <w:numPr>
          <w:ilvl w:val="0"/>
          <w:numId w:val="1009"/>
        </w:numPr>
        <w:pStyle w:val="Compact"/>
      </w:pPr>
      <w:r>
        <w:t xml:space="preserve">API keys (integrated with central ahg_api_key table)</w:t>
      </w:r>
    </w:p>
    <w:p>
      <w:pPr>
        <w:numPr>
          <w:ilvl w:val="0"/>
          <w:numId w:val="1009"/>
        </w:numPr>
        <w:pStyle w:val="Compact"/>
      </w:pPr>
      <w:r>
        <w:t xml:space="preserve">Notification preferences and activity log</w:t>
      </w:r>
    </w:p>
    <w:p>
      <w:pPr>
        <w:numPr>
          <w:ilvl w:val="0"/>
          <w:numId w:val="1009"/>
        </w:numPr>
        <w:pStyle w:val="Compact"/>
      </w:pPr>
      <w:r>
        <w:t xml:space="preserve">Dropdown Manager seed data (7 taxonomies: seat_type, booking_status, researcher_status, researcher_type, material_request_status, reproduction_type, reproduction_request_status, equipment_type)</w:t>
      </w:r>
    </w:p>
    <w:p>
      <w:r>
        <w:pict>
          <v:rect style="width:0;height:1.5pt" o:hralign="center" o:hrstd="t" o:hr="t"/>
        </w:pict>
      </w:r>
    </w:p>
    <w:bookmarkEnd w:id="55"/>
    <w:bookmarkStart w:id="56" w:name="getting-started"/>
    <w:p>
      <w:pPr>
        <w:pStyle w:val="Heading2"/>
      </w:pPr>
      <w:r>
        <w:t xml:space="preserve">Getting Started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Install</w:t>
      </w:r>
      <w:r>
        <w:t xml:space="preserve"> </w:t>
      </w:r>
      <w:r>
        <w:t xml:space="preserve">the ahgResearchPlugin via the AtoM Heratio Extension Manager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Run</w:t>
      </w:r>
      <w:r>
        <w:t xml:space="preserve"> </w:t>
      </w:r>
      <w:r>
        <w:t xml:space="preserve">the database migration (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+ migration files)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Configure</w:t>
      </w:r>
      <w:r>
        <w:t xml:space="preserve"> </w:t>
      </w:r>
      <w:r>
        <w:t xml:space="preserve">reading rooms, researcher types, and SLA policies via Admin &gt; AHG Settings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Enable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Research</w:t>
      </w:r>
      <w:r>
        <w:t xml:space="preserve">”</w:t>
      </w:r>
      <w:r>
        <w:t xml:space="preserve"> </w:t>
      </w:r>
      <w:r>
        <w:t xml:space="preserve">menu in Admin &gt; Menus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Test</w:t>
      </w:r>
      <w:r>
        <w:t xml:space="preserve"> </w:t>
      </w:r>
      <w:r>
        <w:t xml:space="preserve">by registering a researcher account and creating a booking</w:t>
      </w:r>
    </w:p>
    <w:p>
      <w:pPr>
        <w:pStyle w:val="FirstParagraph"/>
      </w:pPr>
      <w:r>
        <w:t xml:space="preserve">For detailed setup instructions, see the full Training Manual (included).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The Archive and Heritage Group (Pty) Ltd — Preserving Heritage Through Technology</w:t>
      </w:r>
      <w:r>
        <w:t xml:space="preserve"> </w:t>
      </w:r>
      <w:r>
        <w:rPr>
          <w:iCs/>
          <w:i/>
        </w:rPr>
        <w:t xml:space="preserve">https://theahg.co.za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Research Portal — Feature Overview v3.3.0</dc:title>
  <dc:creator>The Archive and Heritage Group (Pty) Ltd</dc:creator>
  <cp:keywords/>
  <dcterms:created xsi:type="dcterms:W3CDTF">2026-09-28T15:08:12Z</dcterms:created>
  <dcterms:modified xsi:type="dcterms:W3CDTF">2026-09-28T15:08:12Z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