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Settings Management - How It Works</w:t>
      </w:r>
    </w:p>
    <w:p>
      <w:r>
        <w:rPr>
          <w:i/>
          <w:color w:val="666666"/>
        </w:rPr>
        <w:t>A plain-language guide to understanding the centralised settings panel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Settings Module?</w:t>
      </w:r>
    </w:p>
    <w:p>
      <w:r>
        <w:t>The Settings module provides a single place for administrators to configure all Heratio plugins and features. Instead of editing configuration files, everything is managed through a web interface with organised sections.</w:t>
      </w:r>
    </w:p>
    <w:p>
      <w:pPr>
        <w:pStyle w:val="Heading2"/>
      </w:pPr>
      <w:r>
        <w:t>Settings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You Configure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General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Platform name, branding, theme colours, logo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Metadata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Default extraction settings (EXIF, IPTC, XMP), field mappings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IIIF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Image viewer options, Cantaloupe server settings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Media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Audio/video player settings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Jobs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Background job processing settings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Data Ingest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Default import options, AI processing toggles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Collections procedures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Museum procedure settings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Data Protection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Privacy and compliance defaults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Marketplace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Commission rates, listing fees, currencies, payout rules</w:t>
            </w:r>
          </w:p>
        </w:tc>
      </w:tr>
    </w:tbl>
    <w:p/>
    <w:p>
      <w:r>
        <w:t>Each section only appears if the relevant plugin is installed and enabled. Settings are saved instantly and take effect immediately — no server restart required.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