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GRAP Table Consolidation Plan</w:t>
      </w:r>
    </w:p>
    <w:p>
      <w:pPr>
        <w:pStyle w:val="Author"/>
      </w:pPr>
      <w:r>
        <w:t xml:space="preserve">The Archive and Heritage Group (Pty) Ltd</w:t>
      </w:r>
    </w:p>
    <w:bookmarkStart w:id="30" w:name="grap-table-consolidation-plan"/>
    <w:p>
      <w:pPr>
        <w:pStyle w:val="Heading1"/>
      </w:pPr>
      <w:r>
        <w:t xml:space="preserve">GRAP Table Consolidation Plan</w:t>
      </w:r>
    </w:p>
    <w:bookmarkStart w:id="20" w:name="overview"/>
    <w:p>
      <w:pPr>
        <w:pStyle w:val="Heading2"/>
      </w:pPr>
      <w:r>
        <w:t xml:space="preserve">Overview</w:t>
      </w:r>
    </w:p>
    <w:p>
      <w:pPr>
        <w:pStyle w:val="FirstParagraph"/>
      </w:pPr>
      <w:r>
        <w:t xml:space="preserve">GRAP 103 (Generally Recognised Accounting Practice for Heritage Assets) compliance requires tracking of heritage asset valuations, movements, and accounting entries. Currently, this functionality is split across multiple plugins with potential overlapping functionality.</w:t>
      </w:r>
    </w:p>
    <w:bookmarkEnd w:id="20"/>
    <w:bookmarkStart w:id="23" w:name="current-state"/>
    <w:p>
      <w:pPr>
        <w:pStyle w:val="Heading2"/>
      </w:pPr>
      <w:r>
        <w:t xml:space="preserve">Current State</w:t>
      </w:r>
    </w:p>
    <w:bookmarkStart w:id="21" w:name="X96087385bde13eea829a309e44bc57ce0930adb"/>
    <w:p>
      <w:pPr>
        <w:pStyle w:val="Heading3"/>
      </w:pPr>
      <w:r>
        <w:t xml:space="preserve">ahgHeritageAccountingPlugin Tables (9 tables)</w:t>
      </w:r>
    </w:p>
    <w:tbl>
      <w:tblPr>
        <w:tblStyle w:val="Table"/>
        <w:tblW w:type="pct" w:w="5000"/>
        <w:tblLook w:firstRow="1" w:lastRow="0" w:firstColumn="0" w:lastColumn="0" w:noHBand="0" w:noVBand="0" w:val="0020"/>
        <w:jc w:val="start"/>
      </w:tblPr>
      <w:tblGrid>
        <w:gridCol w:w="2217"/>
        <w:gridCol w:w="2851"/>
        <w:gridCol w:w="2851"/>
      </w:tblGrid>
      <w:tr>
        <w:trPr>
          <w:tblHeader w:val="true"/>
        </w:trPr>
        <w:tc>
          <w:tcPr/>
          <w:p>
            <w:pPr>
              <w:pStyle w:val="Compact"/>
              <w:jc w:val="left"/>
            </w:pPr>
            <w:r>
              <w:t xml:space="preserve">Table</w:t>
            </w:r>
          </w:p>
        </w:tc>
        <w:tc>
          <w:tcPr/>
          <w:p>
            <w:pPr>
              <w:pStyle w:val="Compact"/>
              <w:jc w:val="left"/>
            </w:pPr>
            <w:r>
              <w:t xml:space="preserve">Purpose</w:t>
            </w:r>
          </w:p>
        </w:tc>
        <w:tc>
          <w:tcPr/>
          <w:p>
            <w:pPr>
              <w:pStyle w:val="Compact"/>
              <w:jc w:val="left"/>
            </w:pPr>
            <w:r>
              <w:t xml:space="preserve">Records</w:t>
            </w:r>
          </w:p>
        </w:tc>
      </w:tr>
      <w:tr>
        <w:tc>
          <w:tcPr/>
          <w:p>
            <w:pPr>
              <w:pStyle w:val="Compact"/>
              <w:jc w:val="left"/>
            </w:pPr>
            <w:r>
              <w:rPr>
                <w:rStyle w:val="VerbatimChar"/>
              </w:rPr>
              <w:t xml:space="preserve">heritage_accounting_standard</w:t>
            </w:r>
          </w:p>
        </w:tc>
        <w:tc>
          <w:tcPr/>
          <w:p>
            <w:pPr>
              <w:pStyle w:val="Compact"/>
              <w:jc w:val="left"/>
            </w:pPr>
            <w:r>
              <w:t xml:space="preserve">GRAP/IFRS standards reference</w:t>
            </w:r>
          </w:p>
        </w:tc>
        <w:tc>
          <w:tcPr/>
          <w:p>
            <w:pPr>
              <w:pStyle w:val="Compact"/>
              <w:jc w:val="left"/>
            </w:pPr>
            <w:r>
              <w:t xml:space="preserve">Lookup</w:t>
            </w:r>
          </w:p>
        </w:tc>
      </w:tr>
      <w:tr>
        <w:tc>
          <w:tcPr/>
          <w:p>
            <w:pPr>
              <w:pStyle w:val="Compact"/>
              <w:jc w:val="left"/>
            </w:pPr>
            <w:r>
              <w:rPr>
                <w:rStyle w:val="VerbatimChar"/>
              </w:rPr>
              <w:t xml:space="preserve">heritage_asset_class</w:t>
            </w:r>
          </w:p>
        </w:tc>
        <w:tc>
          <w:tcPr/>
          <w:p>
            <w:pPr>
              <w:pStyle w:val="Compact"/>
              <w:jc w:val="left"/>
            </w:pPr>
            <w:r>
              <w:t xml:space="preserve">Asset classification (art, historical, natural)</w:t>
            </w:r>
          </w:p>
        </w:tc>
        <w:tc>
          <w:tcPr/>
          <w:p>
            <w:pPr>
              <w:pStyle w:val="Compact"/>
              <w:jc w:val="left"/>
            </w:pPr>
            <w:r>
              <w:t xml:space="preserve">Lookup</w:t>
            </w:r>
          </w:p>
        </w:tc>
      </w:tr>
      <w:tr>
        <w:tc>
          <w:tcPr/>
          <w:p>
            <w:pPr>
              <w:pStyle w:val="Compact"/>
              <w:jc w:val="left"/>
            </w:pPr>
            <w:r>
              <w:rPr>
                <w:rStyle w:val="VerbatimChar"/>
              </w:rPr>
              <w:t xml:space="preserve">heritage_asset</w:t>
            </w:r>
          </w:p>
        </w:tc>
        <w:tc>
          <w:tcPr/>
          <w:p>
            <w:pPr>
              <w:pStyle w:val="Compact"/>
              <w:jc w:val="left"/>
            </w:pPr>
            <w:r>
              <w:t xml:space="preserve">Links objects to accounting data</w:t>
            </w:r>
          </w:p>
        </w:tc>
        <w:tc>
          <w:tcPr/>
          <w:p>
            <w:pPr>
              <w:pStyle w:val="Compact"/>
              <w:jc w:val="left"/>
            </w:pPr>
            <w:r>
              <w:t xml:space="preserve">Transaction</w:t>
            </w:r>
          </w:p>
        </w:tc>
      </w:tr>
      <w:tr>
        <w:tc>
          <w:tcPr/>
          <w:p>
            <w:pPr>
              <w:pStyle w:val="Compact"/>
              <w:jc w:val="left"/>
            </w:pPr>
            <w:r>
              <w:rPr>
                <w:rStyle w:val="VerbatimChar"/>
              </w:rPr>
              <w:t xml:space="preserve">heritage_valuation_history</w:t>
            </w:r>
          </w:p>
        </w:tc>
        <w:tc>
          <w:tcPr/>
          <w:p>
            <w:pPr>
              <w:pStyle w:val="Compact"/>
              <w:jc w:val="left"/>
            </w:pPr>
            <w:r>
              <w:t xml:space="preserve">Historical valuations</w:t>
            </w:r>
          </w:p>
        </w:tc>
        <w:tc>
          <w:tcPr/>
          <w:p>
            <w:pPr>
              <w:pStyle w:val="Compact"/>
              <w:jc w:val="left"/>
            </w:pPr>
            <w:r>
              <w:t xml:space="preserve">Transaction</w:t>
            </w:r>
          </w:p>
        </w:tc>
      </w:tr>
      <w:tr>
        <w:tc>
          <w:tcPr/>
          <w:p>
            <w:pPr>
              <w:pStyle w:val="Compact"/>
              <w:jc w:val="left"/>
            </w:pPr>
            <w:r>
              <w:rPr>
                <w:rStyle w:val="VerbatimChar"/>
              </w:rPr>
              <w:t xml:space="preserve">heritage_impairment_assessment</w:t>
            </w:r>
          </w:p>
        </w:tc>
        <w:tc>
          <w:tcPr/>
          <w:p>
            <w:pPr>
              <w:pStyle w:val="Compact"/>
              <w:jc w:val="left"/>
            </w:pPr>
            <w:r>
              <w:t xml:space="preserve">Impairment tests per GRAP 103</w:t>
            </w:r>
          </w:p>
        </w:tc>
        <w:tc>
          <w:tcPr/>
          <w:p>
            <w:pPr>
              <w:pStyle w:val="Compact"/>
              <w:jc w:val="left"/>
            </w:pPr>
            <w:r>
              <w:t xml:space="preserve">Transaction</w:t>
            </w:r>
          </w:p>
        </w:tc>
      </w:tr>
      <w:tr>
        <w:tc>
          <w:tcPr/>
          <w:p>
            <w:pPr>
              <w:pStyle w:val="Compact"/>
              <w:jc w:val="left"/>
            </w:pPr>
            <w:r>
              <w:rPr>
                <w:rStyle w:val="VerbatimChar"/>
              </w:rPr>
              <w:t xml:space="preserve">heritage_movement_register</w:t>
            </w:r>
          </w:p>
        </w:tc>
        <w:tc>
          <w:tcPr/>
          <w:p>
            <w:pPr>
              <w:pStyle w:val="Compact"/>
              <w:jc w:val="left"/>
            </w:pPr>
            <w:r>
              <w:t xml:space="preserve">Asset movements for audit</w:t>
            </w:r>
          </w:p>
        </w:tc>
        <w:tc>
          <w:tcPr/>
          <w:p>
            <w:pPr>
              <w:pStyle w:val="Compact"/>
              <w:jc w:val="left"/>
            </w:pPr>
            <w:r>
              <w:t xml:space="preserve">Transaction</w:t>
            </w:r>
          </w:p>
        </w:tc>
      </w:tr>
      <w:tr>
        <w:tc>
          <w:tcPr/>
          <w:p>
            <w:pPr>
              <w:pStyle w:val="Compact"/>
              <w:jc w:val="left"/>
            </w:pPr>
            <w:r>
              <w:rPr>
                <w:rStyle w:val="VerbatimChar"/>
              </w:rPr>
              <w:t xml:space="preserve">heritage_journal_entry</w:t>
            </w:r>
          </w:p>
        </w:tc>
        <w:tc>
          <w:tcPr/>
          <w:p>
            <w:pPr>
              <w:pStyle w:val="Compact"/>
              <w:jc w:val="left"/>
            </w:pPr>
            <w:r>
              <w:t xml:space="preserve">Accounting journal entries</w:t>
            </w:r>
          </w:p>
        </w:tc>
        <w:tc>
          <w:tcPr/>
          <w:p>
            <w:pPr>
              <w:pStyle w:val="Compact"/>
              <w:jc w:val="left"/>
            </w:pPr>
            <w:r>
              <w:t xml:space="preserve">Transaction</w:t>
            </w:r>
          </w:p>
        </w:tc>
      </w:tr>
      <w:tr>
        <w:tc>
          <w:tcPr/>
          <w:p>
            <w:pPr>
              <w:pStyle w:val="Compact"/>
              <w:jc w:val="left"/>
            </w:pPr>
            <w:r>
              <w:rPr>
                <w:rStyle w:val="VerbatimChar"/>
              </w:rPr>
              <w:t xml:space="preserve">heritage_compliance_rule</w:t>
            </w:r>
          </w:p>
        </w:tc>
        <w:tc>
          <w:tcPr/>
          <w:p>
            <w:pPr>
              <w:pStyle w:val="Compact"/>
              <w:jc w:val="left"/>
            </w:pPr>
            <w:r>
              <w:t xml:space="preserve">Validation rules</w:t>
            </w:r>
          </w:p>
        </w:tc>
        <w:tc>
          <w:tcPr/>
          <w:p>
            <w:pPr>
              <w:pStyle w:val="Compact"/>
              <w:jc w:val="left"/>
            </w:pPr>
            <w:r>
              <w:t xml:space="preserve">Config</w:t>
            </w:r>
          </w:p>
        </w:tc>
      </w:tr>
      <w:tr>
        <w:tc>
          <w:tcPr/>
          <w:p>
            <w:pPr>
              <w:pStyle w:val="Compact"/>
              <w:jc w:val="left"/>
            </w:pPr>
            <w:r>
              <w:rPr>
                <w:rStyle w:val="VerbatimChar"/>
              </w:rPr>
              <w:t xml:space="preserve">heritage_transaction_log</w:t>
            </w:r>
          </w:p>
        </w:tc>
        <w:tc>
          <w:tcPr/>
          <w:p>
            <w:pPr>
              <w:pStyle w:val="Compact"/>
              <w:jc w:val="left"/>
            </w:pPr>
            <w:r>
              <w:t xml:space="preserve">Audit trail</w:t>
            </w:r>
          </w:p>
        </w:tc>
        <w:tc>
          <w:tcPr/>
          <w:p>
            <w:pPr>
              <w:pStyle w:val="Compact"/>
              <w:jc w:val="left"/>
            </w:pPr>
            <w:r>
              <w:t xml:space="preserve">Audit</w:t>
            </w:r>
          </w:p>
        </w:tc>
      </w:tr>
    </w:tbl>
    <w:bookmarkEnd w:id="21"/>
    <w:bookmarkStart w:id="22" w:name="Xc9afc57cd2a8cff9537b91f87f2efed53f1a674"/>
    <w:p>
      <w:pPr>
        <w:pStyle w:val="Heading3"/>
      </w:pPr>
      <w:r>
        <w:t xml:space="preserve">ahgSpectrumPlugin Valuation Tables (2 tables)</w:t>
      </w:r>
    </w:p>
    <w:tbl>
      <w:tblPr>
        <w:tblStyle w:val="Table"/>
        <w:tblW w:type="pct" w:w="5000"/>
        <w:tblLook w:firstRow="1" w:lastRow="0" w:firstColumn="0" w:lastColumn="0" w:noHBand="0" w:noVBand="0" w:val="0020"/>
        <w:jc w:val="start"/>
      </w:tblPr>
      <w:tblGrid>
        <w:gridCol w:w="2217"/>
        <w:gridCol w:w="2851"/>
        <w:gridCol w:w="2851"/>
      </w:tblGrid>
      <w:tr>
        <w:trPr>
          <w:tblHeader w:val="true"/>
        </w:trPr>
        <w:tc>
          <w:tcPr/>
          <w:p>
            <w:pPr>
              <w:pStyle w:val="Compact"/>
              <w:jc w:val="left"/>
            </w:pPr>
            <w:r>
              <w:t xml:space="preserve">Table</w:t>
            </w:r>
          </w:p>
        </w:tc>
        <w:tc>
          <w:tcPr/>
          <w:p>
            <w:pPr>
              <w:pStyle w:val="Compact"/>
              <w:jc w:val="left"/>
            </w:pPr>
            <w:r>
              <w:t xml:space="preserve">Purpose</w:t>
            </w:r>
          </w:p>
        </w:tc>
        <w:tc>
          <w:tcPr/>
          <w:p>
            <w:pPr>
              <w:pStyle w:val="Compact"/>
              <w:jc w:val="left"/>
            </w:pPr>
            <w:r>
              <w:t xml:space="preserve">Records</w:t>
            </w:r>
          </w:p>
        </w:tc>
      </w:tr>
      <w:tr>
        <w:tc>
          <w:tcPr/>
          <w:p>
            <w:pPr>
              <w:pStyle w:val="Compact"/>
              <w:jc w:val="left"/>
            </w:pPr>
            <w:r>
              <w:rPr>
                <w:rStyle w:val="VerbatimChar"/>
              </w:rPr>
              <w:t xml:space="preserve">spectrum_valuation</w:t>
            </w:r>
          </w:p>
        </w:tc>
        <w:tc>
          <w:tcPr/>
          <w:p>
            <w:pPr>
              <w:pStyle w:val="Compact"/>
              <w:jc w:val="left"/>
            </w:pPr>
            <w:r>
              <w:t xml:space="preserve">Object valuations (insurance, market)</w:t>
            </w:r>
          </w:p>
        </w:tc>
        <w:tc>
          <w:tcPr/>
          <w:p>
            <w:pPr>
              <w:pStyle w:val="Compact"/>
              <w:jc w:val="left"/>
            </w:pPr>
            <w:r>
              <w:t xml:space="preserve">Transaction</w:t>
            </w:r>
          </w:p>
        </w:tc>
      </w:tr>
      <w:tr>
        <w:tc>
          <w:tcPr/>
          <w:p>
            <w:pPr>
              <w:pStyle w:val="Compact"/>
              <w:jc w:val="left"/>
            </w:pPr>
            <w:r>
              <w:rPr>
                <w:rStyle w:val="VerbatimChar"/>
              </w:rPr>
              <w:t xml:space="preserve">spectrum_valuation_alert</w:t>
            </w:r>
          </w:p>
        </w:tc>
        <w:tc>
          <w:tcPr/>
          <w:p>
            <w:pPr>
              <w:pStyle w:val="Compact"/>
              <w:jc w:val="left"/>
            </w:pPr>
            <w:r>
              <w:t xml:space="preserve">Valuation review alerts</w:t>
            </w:r>
          </w:p>
        </w:tc>
        <w:tc>
          <w:tcPr/>
          <w:p>
            <w:pPr>
              <w:pStyle w:val="Compact"/>
              <w:jc w:val="left"/>
            </w:pPr>
            <w:r>
              <w:t xml:space="preserve">Notification</w:t>
            </w:r>
          </w:p>
        </w:tc>
      </w:tr>
    </w:tbl>
    <w:bookmarkEnd w:id="22"/>
    <w:bookmarkEnd w:id="23"/>
    <w:bookmarkStart w:id="26" w:name="analysis"/>
    <w:p>
      <w:pPr>
        <w:pStyle w:val="Heading2"/>
      </w:pPr>
      <w:r>
        <w:t xml:space="preserve">Analysis</w:t>
      </w:r>
    </w:p>
    <w:bookmarkStart w:id="24" w:name="overlap-assessment"/>
    <w:p>
      <w:pPr>
        <w:pStyle w:val="Heading3"/>
      </w:pPr>
      <w:r>
        <w:t xml:space="preserve">Overlap Assessment</w:t>
      </w:r>
    </w:p>
    <w:p>
      <w:pPr>
        <w:numPr>
          <w:ilvl w:val="0"/>
          <w:numId w:val="1001"/>
        </w:numPr>
        <w:pStyle w:val="Compact"/>
      </w:pPr>
      <w:r>
        <w:rPr>
          <w:bCs/>
          <w:b/>
        </w:rPr>
        <w:t xml:space="preserve">Valuation Data:</w:t>
      </w:r>
    </w:p>
    <w:p>
      <w:pPr>
        <w:numPr>
          <w:ilvl w:val="1"/>
          <w:numId w:val="1002"/>
        </w:numPr>
        <w:pStyle w:val="Compact"/>
      </w:pPr>
      <w:r>
        <w:rPr>
          <w:rStyle w:val="VerbatimChar"/>
        </w:rPr>
        <w:t xml:space="preserve">heritage_valuation_history</w:t>
      </w:r>
      <w:r>
        <w:t xml:space="preserve"> </w:t>
      </w:r>
      <w:r>
        <w:t xml:space="preserve">and</w:t>
      </w:r>
      <w:r>
        <w:t xml:space="preserve"> </w:t>
      </w:r>
      <w:r>
        <w:rPr>
          <w:rStyle w:val="VerbatimChar"/>
        </w:rPr>
        <w:t xml:space="preserve">spectrum_valuation</w:t>
      </w:r>
      <w:r>
        <w:t xml:space="preserve"> </w:t>
      </w:r>
      <w:r>
        <w:t xml:space="preserve">both store valuations</w:t>
      </w:r>
    </w:p>
    <w:p>
      <w:pPr>
        <w:numPr>
          <w:ilvl w:val="1"/>
          <w:numId w:val="1002"/>
        </w:numPr>
        <w:pStyle w:val="Compact"/>
      </w:pPr>
      <w:r>
        <w:t xml:space="preserve">Different schemas but similar purpose</w:t>
      </w:r>
    </w:p>
    <w:p>
      <w:pPr>
        <w:numPr>
          <w:ilvl w:val="1"/>
          <w:numId w:val="1002"/>
        </w:numPr>
        <w:pStyle w:val="Compact"/>
      </w:pPr>
      <w:r>
        <w:t xml:space="preserve">Collections Procedures focuses on insurance/market value</w:t>
      </w:r>
    </w:p>
    <w:p>
      <w:pPr>
        <w:numPr>
          <w:ilvl w:val="1"/>
          <w:numId w:val="1002"/>
        </w:numPr>
        <w:pStyle w:val="Compact"/>
      </w:pPr>
      <w:r>
        <w:t xml:space="preserve">Heritage focuses on GRAP-compliant book value</w:t>
      </w:r>
    </w:p>
    <w:p>
      <w:pPr>
        <w:numPr>
          <w:ilvl w:val="0"/>
          <w:numId w:val="1001"/>
        </w:numPr>
        <w:pStyle w:val="Compact"/>
      </w:pPr>
      <w:r>
        <w:rPr>
          <w:bCs/>
          <w:b/>
        </w:rPr>
        <w:t xml:space="preserve">Movement Tracking:</w:t>
      </w:r>
    </w:p>
    <w:p>
      <w:pPr>
        <w:numPr>
          <w:ilvl w:val="1"/>
          <w:numId w:val="1003"/>
        </w:numPr>
        <w:pStyle w:val="Compact"/>
      </w:pPr>
      <w:r>
        <w:rPr>
          <w:rStyle w:val="VerbatimChar"/>
        </w:rPr>
        <w:t xml:space="preserve">heritage_movement_register</w:t>
      </w:r>
      <w:r>
        <w:t xml:space="preserve"> </w:t>
      </w:r>
      <w:r>
        <w:t xml:space="preserve">overlaps with</w:t>
      </w:r>
      <w:r>
        <w:t xml:space="preserve"> </w:t>
      </w:r>
      <w:r>
        <w:rPr>
          <w:rStyle w:val="VerbatimChar"/>
        </w:rPr>
        <w:t xml:space="preserve">spectrum_movement</w:t>
      </w:r>
    </w:p>
    <w:p>
      <w:pPr>
        <w:numPr>
          <w:ilvl w:val="1"/>
          <w:numId w:val="1003"/>
        </w:numPr>
        <w:pStyle w:val="Compact"/>
      </w:pPr>
      <w:r>
        <w:t xml:space="preserve">Heritage focuses on accounting impact</w:t>
      </w:r>
    </w:p>
    <w:p>
      <w:pPr>
        <w:numPr>
          <w:ilvl w:val="1"/>
          <w:numId w:val="1003"/>
        </w:numPr>
        <w:pStyle w:val="Compact"/>
      </w:pPr>
      <w:r>
        <w:t xml:space="preserve">Collections Procedures focuses on physical location</w:t>
      </w:r>
    </w:p>
    <w:bookmarkEnd w:id="24"/>
    <w:bookmarkStart w:id="25" w:name="recommendation"/>
    <w:p>
      <w:pPr>
        <w:pStyle w:val="Heading3"/>
      </w:pPr>
      <w:r>
        <w:t xml:space="preserve">Recommendation</w:t>
      </w:r>
    </w:p>
    <w:p>
      <w:pPr>
        <w:pStyle w:val="FirstParagraph"/>
      </w:pPr>
      <w:r>
        <w:rPr>
          <w:bCs/>
          <w:b/>
        </w:rPr>
        <w:t xml:space="preserve">Option A: Keep Separate (Recommended for Now)</w:t>
      </w:r>
      <w:r>
        <w:t xml:space="preserve"> </w:t>
      </w:r>
      <w:r>
        <w:t xml:space="preserve">- ahgSpectrumPlugin: Museum collections management (Collections Procedures standard)</w:t>
      </w:r>
      <w:r>
        <w:t xml:space="preserve"> </w:t>
      </w:r>
      <w:r>
        <w:t xml:space="preserve">- ahgHeritageAccountingPlugin: Financial/accounting compliance (GRAP 103)</w:t>
      </w:r>
    </w:p>
    <w:p>
      <w:pPr>
        <w:pStyle w:val="BodyText"/>
      </w:pPr>
      <w:r>
        <w:rPr>
          <w:bCs/>
          <w:b/>
        </w:rPr>
        <w:t xml:space="preserve">Rationale:</w:t>
      </w:r>
      <w:r>
        <w:t xml:space="preserve"> </w:t>
      </w:r>
      <w:r>
        <w:t xml:space="preserve">- Different audiences (curators vs. accountants)</w:t>
      </w:r>
      <w:r>
        <w:t xml:space="preserve"> </w:t>
      </w:r>
      <w:r>
        <w:t xml:space="preserve">- Different compliance requirements</w:t>
      </w:r>
      <w:r>
        <w:t xml:space="preserve"> </w:t>
      </w:r>
      <w:r>
        <w:t xml:space="preserve">- Can be linked via</w:t>
      </w:r>
      <w:r>
        <w:t xml:space="preserve"> </w:t>
      </w:r>
      <w:r>
        <w:rPr>
          <w:rStyle w:val="VerbatimChar"/>
        </w:rPr>
        <w:t xml:space="preserve">object_id</w:t>
      </w:r>
      <w:r>
        <w:t xml:space="preserve"> </w:t>
      </w:r>
      <w:r>
        <w:t xml:space="preserve">foreign keys</w:t>
      </w:r>
    </w:p>
    <w:p>
      <w:pPr>
        <w:pStyle w:val="BodyText"/>
      </w:pPr>
      <w:r>
        <w:rPr>
          <w:bCs/>
          <w:b/>
        </w:rPr>
        <w:t xml:space="preserve">Option B: Consolidate (Future Consideration)</w:t>
      </w:r>
      <w:r>
        <w:t xml:space="preserve"> </w:t>
      </w:r>
      <w:r>
        <w:t xml:space="preserve">- Merge valuation tables with type indicator</w:t>
      </w:r>
      <w:r>
        <w:t xml:space="preserve"> </w:t>
      </w:r>
      <w:r>
        <w:t xml:space="preserve">- Create unified movement register</w:t>
      </w:r>
      <w:r>
        <w:t xml:space="preserve"> </w:t>
      </w:r>
      <w:r>
        <w:t xml:space="preserve">- Would require significant migration effort</w:t>
      </w:r>
    </w:p>
    <w:bookmarkEnd w:id="25"/>
    <w:bookmarkEnd w:id="26"/>
    <w:bookmarkStart w:id="27" w:name="action-items"/>
    <w:p>
      <w:pPr>
        <w:pStyle w:val="Heading2"/>
      </w:pPr>
      <w:r>
        <w:t xml:space="preserve">Action Items</w:t>
      </w:r>
    </w:p>
    <w:p>
      <w:pPr>
        <w:numPr>
          <w:ilvl w:val="0"/>
          <w:numId w:val="1004"/>
        </w:numPr>
        <w:pStyle w:val="Compact"/>
      </w:pPr>
      <w:r>
        <w:t xml:space="preserve">☐ Verify no data in</w:t>
      </w:r>
      <w:r>
        <w:t xml:space="preserve"> </w:t>
      </w:r>
      <w:r>
        <w:rPr>
          <w:rStyle w:val="VerbatimChar"/>
        </w:rPr>
        <w:t xml:space="preserve">spectrum_valuation</w:t>
      </w:r>
      <w:r>
        <w:t xml:space="preserve"> </w:t>
      </w:r>
      <w:r>
        <w:t xml:space="preserve">that should be in</w:t>
      </w:r>
      <w:r>
        <w:t xml:space="preserve"> </w:t>
      </w:r>
      <w:r>
        <w:rPr>
          <w:rStyle w:val="VerbatimChar"/>
        </w:rPr>
        <w:t xml:space="preserve">heritage_valuation_history</w:t>
      </w:r>
    </w:p>
    <w:p>
      <w:pPr>
        <w:numPr>
          <w:ilvl w:val="0"/>
          <w:numId w:val="1004"/>
        </w:numPr>
        <w:pStyle w:val="Compact"/>
      </w:pPr>
      <w:r>
        <w:t xml:space="preserve">☐ Add foreign key relationship documentation</w:t>
      </w:r>
    </w:p>
    <w:p>
      <w:pPr>
        <w:numPr>
          <w:ilvl w:val="0"/>
          <w:numId w:val="1004"/>
        </w:numPr>
        <w:pStyle w:val="Compact"/>
      </w:pPr>
      <w:r>
        <w:t xml:space="preserve">☐ Create sync mechanism if needed</w:t>
      </w:r>
    </w:p>
    <w:p>
      <w:pPr>
        <w:numPr>
          <w:ilvl w:val="0"/>
          <w:numId w:val="1004"/>
        </w:numPr>
        <w:pStyle w:val="Compact"/>
      </w:pPr>
      <w:r>
        <w:t xml:space="preserve">☐ Schedule review after 6 months of usage</w:t>
      </w:r>
    </w:p>
    <w:bookmarkEnd w:id="27"/>
    <w:bookmarkStart w:id="28" w:name="migration-notes"/>
    <w:p>
      <w:pPr>
        <w:pStyle w:val="Heading2"/>
      </w:pPr>
      <w:r>
        <w:t xml:space="preserve">Migration Notes</w:t>
      </w:r>
    </w:p>
    <w:p>
      <w:pPr>
        <w:pStyle w:val="FirstParagraph"/>
      </w:pPr>
      <w:r>
        <w:t xml:space="preserve">If consolidation is decided:</w:t>
      </w:r>
    </w:p>
    <w:p>
      <w:pPr>
        <w:pStyle w:val="SourceCode"/>
      </w:pPr>
      <w:r>
        <w:rPr>
          <w:rStyle w:val="CommentTok"/>
        </w:rPr>
        <w:t xml:space="preserve">-- Example: Migrate spectrum_valuation to heritage_valuation_history</w:t>
      </w:r>
      <w:r>
        <w:br/>
      </w:r>
      <w:r>
        <w:rPr>
          <w:rStyle w:val="KeywordTok"/>
        </w:rPr>
        <w:t xml:space="preserve">INSERT</w:t>
      </w:r>
      <w:r>
        <w:rPr>
          <w:rStyle w:val="NormalTok"/>
        </w:rPr>
        <w:t xml:space="preserve"> </w:t>
      </w:r>
      <w:r>
        <w:rPr>
          <w:rStyle w:val="KeywordTok"/>
        </w:rPr>
        <w:t xml:space="preserve">INTO</w:t>
      </w:r>
      <w:r>
        <w:rPr>
          <w:rStyle w:val="NormalTok"/>
        </w:rPr>
        <w:t xml:space="preserve"> heritage_valuation_history (</w:t>
      </w:r>
      <w:r>
        <w:br/>
      </w:r>
      <w:r>
        <w:rPr>
          <w:rStyle w:val="NormalTok"/>
        </w:rPr>
        <w:t xml:space="preserve">    object_id, valuation_date, valuation_amount, valuation_type,</w:t>
      </w:r>
      <w:r>
        <w:br/>
      </w:r>
      <w:r>
        <w:rPr>
          <w:rStyle w:val="NormalTok"/>
        </w:rPr>
        <w:t xml:space="preserve">    valuer_name, valuation_method, notes, created_at</w:t>
      </w:r>
      <w:r>
        <w:br/>
      </w:r>
      <w:r>
        <w:rPr>
          <w:rStyle w:val="NormalTok"/>
        </w:rPr>
        <w:t xml:space="preserve">)</w:t>
      </w:r>
      <w:r>
        <w:br/>
      </w:r>
      <w:r>
        <w:rPr>
          <w:rStyle w:val="KeywordTok"/>
        </w:rPr>
        <w:t xml:space="preserve">SELECT</w:t>
      </w:r>
      <w:r>
        <w:br/>
      </w:r>
      <w:r>
        <w:rPr>
          <w:rStyle w:val="NormalTok"/>
        </w:rPr>
        <w:t xml:space="preserve">    object_id, valuation_date, amount,</w:t>
      </w:r>
      <w:r>
        <w:br/>
      </w:r>
      <w:r>
        <w:rPr>
          <w:rStyle w:val="NormalTok"/>
        </w:rPr>
        <w:t xml:space="preserve">    </w:t>
      </w:r>
      <w:r>
        <w:rPr>
          <w:rStyle w:val="ControlFlowTok"/>
        </w:rPr>
        <w:t xml:space="preserve">CASE</w:t>
      </w:r>
      <w:r>
        <w:rPr>
          <w:rStyle w:val="NormalTok"/>
        </w:rPr>
        <w:t xml:space="preserve"> </w:t>
      </w:r>
      <w:r>
        <w:rPr>
          <w:rStyle w:val="KeywordTok"/>
        </w:rPr>
        <w:t xml:space="preserve">type</w:t>
      </w:r>
      <w:r>
        <w:rPr>
          <w:rStyle w:val="NormalTok"/>
        </w:rPr>
        <w:t xml:space="preserve"> </w:t>
      </w:r>
      <w:r>
        <w:rPr>
          <w:rStyle w:val="ControlFlowTok"/>
        </w:rPr>
        <w:t xml:space="preserve">WHEN</w:t>
      </w:r>
      <w:r>
        <w:rPr>
          <w:rStyle w:val="NormalTok"/>
        </w:rPr>
        <w:t xml:space="preserve"> </w:t>
      </w:r>
      <w:r>
        <w:rPr>
          <w:rStyle w:val="StringTok"/>
        </w:rPr>
        <w:t xml:space="preserve">'insurance'</w:t>
      </w:r>
      <w:r>
        <w:rPr>
          <w:rStyle w:val="NormalTok"/>
        </w:rPr>
        <w:t xml:space="preserve"> </w:t>
      </w:r>
      <w:r>
        <w:rPr>
          <w:rStyle w:val="ControlFlowTok"/>
        </w:rPr>
        <w:t xml:space="preserve">THEN</w:t>
      </w:r>
      <w:r>
        <w:rPr>
          <w:rStyle w:val="NormalTok"/>
        </w:rPr>
        <w:t xml:space="preserve"> </w:t>
      </w:r>
      <w:r>
        <w:rPr>
          <w:rStyle w:val="StringTok"/>
        </w:rPr>
        <w:t xml:space="preserve">'insurance'</w:t>
      </w:r>
      <w:r>
        <w:rPr>
          <w:rStyle w:val="NormalTok"/>
        </w:rPr>
        <w:t xml:space="preserve"> </w:t>
      </w:r>
      <w:r>
        <w:rPr>
          <w:rStyle w:val="ControlFlowTok"/>
        </w:rPr>
        <w:t xml:space="preserve">ELSE</w:t>
      </w:r>
      <w:r>
        <w:rPr>
          <w:rStyle w:val="NormalTok"/>
        </w:rPr>
        <w:t xml:space="preserve"> </w:t>
      </w:r>
      <w:r>
        <w:rPr>
          <w:rStyle w:val="StringTok"/>
        </w:rPr>
        <w:t xml:space="preserve">'market'</w:t>
      </w:r>
      <w:r>
        <w:rPr>
          <w:rStyle w:val="NormalTok"/>
        </w:rPr>
        <w:t xml:space="preserve"> </w:t>
      </w:r>
      <w:r>
        <w:rPr>
          <w:rStyle w:val="ControlFlowTok"/>
        </w:rPr>
        <w:t xml:space="preserve">END</w:t>
      </w:r>
      <w:r>
        <w:rPr>
          <w:rStyle w:val="NormalTok"/>
        </w:rPr>
        <w:t xml:space="preserve">,</w:t>
      </w:r>
      <w:r>
        <w:br/>
      </w:r>
      <w:r>
        <w:rPr>
          <w:rStyle w:val="NormalTok"/>
        </w:rPr>
        <w:t xml:space="preserve">    assessed_by, </w:t>
      </w:r>
      <w:r>
        <w:rPr>
          <w:rStyle w:val="KeywordTok"/>
        </w:rPr>
        <w:t xml:space="preserve">method</w:t>
      </w:r>
      <w:r>
        <w:rPr>
          <w:rStyle w:val="NormalTok"/>
        </w:rPr>
        <w:t xml:space="preserve">, notes, created_at</w:t>
      </w:r>
      <w:r>
        <w:br/>
      </w:r>
      <w:r>
        <w:rPr>
          <w:rStyle w:val="KeywordTok"/>
        </w:rPr>
        <w:t xml:space="preserve">FROM</w:t>
      </w:r>
      <w:r>
        <w:rPr>
          <w:rStyle w:val="NormalTok"/>
        </w:rPr>
        <w:t xml:space="preserve"> spectrum_valuation</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heritage_valuation_history h</w:t>
      </w:r>
      <w:r>
        <w:br/>
      </w:r>
      <w:r>
        <w:rPr>
          <w:rStyle w:val="NormalTok"/>
        </w:rPr>
        <w:t xml:space="preserve">    </w:t>
      </w:r>
      <w:r>
        <w:rPr>
          <w:rStyle w:val="KeywordTok"/>
        </w:rPr>
        <w:t xml:space="preserve">WHERE</w:t>
      </w:r>
      <w:r>
        <w:rPr>
          <w:rStyle w:val="NormalTok"/>
        </w:rPr>
        <w:t xml:space="preserve"> h.object_id </w:t>
      </w:r>
      <w:r>
        <w:rPr>
          <w:rStyle w:val="OperatorTok"/>
        </w:rPr>
        <w:t xml:space="preserve">=</w:t>
      </w:r>
      <w:r>
        <w:rPr>
          <w:rStyle w:val="NormalTok"/>
        </w:rPr>
        <w:t xml:space="preserve"> spectrum_valuation.object_id</w:t>
      </w:r>
      <w:r>
        <w:br/>
      </w:r>
      <w:r>
        <w:rPr>
          <w:rStyle w:val="NormalTok"/>
        </w:rPr>
        <w:t xml:space="preserve">    </w:t>
      </w:r>
      <w:r>
        <w:rPr>
          <w:rStyle w:val="KeywordTok"/>
        </w:rPr>
        <w:t xml:space="preserve">AND</w:t>
      </w:r>
      <w:r>
        <w:rPr>
          <w:rStyle w:val="NormalTok"/>
        </w:rPr>
        <w:t xml:space="preserve"> h.valuation_date </w:t>
      </w:r>
      <w:r>
        <w:rPr>
          <w:rStyle w:val="OperatorTok"/>
        </w:rPr>
        <w:t xml:space="preserve">=</w:t>
      </w:r>
      <w:r>
        <w:rPr>
          <w:rStyle w:val="NormalTok"/>
        </w:rPr>
        <w:t xml:space="preserve"> spectrum_valuation.valuation_date</w:t>
      </w:r>
      <w:r>
        <w:br/>
      </w:r>
      <w:r>
        <w:rPr>
          <w:rStyle w:val="NormalTok"/>
        </w:rPr>
        <w:t xml:space="preserve">);</w:t>
      </w:r>
    </w:p>
    <w:bookmarkEnd w:id="28"/>
    <w:bookmarkStart w:id="29" w:name="related-documentation"/>
    <w:p>
      <w:pPr>
        <w:pStyle w:val="Heading2"/>
      </w:pPr>
      <w:r>
        <w:t xml:space="preserve">Related Documentation</w:t>
      </w:r>
    </w:p>
    <w:p>
      <w:pPr>
        <w:numPr>
          <w:ilvl w:val="0"/>
          <w:numId w:val="1005"/>
        </w:numPr>
        <w:pStyle w:val="Compact"/>
      </w:pPr>
      <w:r>
        <w:t xml:space="preserve">GRAP 103: Heritage Assets standard</w:t>
      </w:r>
    </w:p>
    <w:p>
      <w:pPr>
        <w:numPr>
          <w:ilvl w:val="0"/>
          <w:numId w:val="1005"/>
        </w:numPr>
        <w:pStyle w:val="Compact"/>
      </w:pPr>
      <w:r>
        <w:t xml:space="preserve">Collections Procedures: Valuation procedure</w:t>
      </w:r>
    </w:p>
    <w:p>
      <w:pPr>
        <w:numPr>
          <w:ilvl w:val="0"/>
          <w:numId w:val="1005"/>
        </w:numPr>
        <w:pStyle w:val="Compact"/>
      </w:pPr>
      <w:r>
        <w:t xml:space="preserve">CLAUDE.md: Plugin architecture guidelines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 Table Consolidation Plan</dc:title>
  <dc:creator>The Archive and Heritage Group (Pty) Ltd</dc:creator>
  <cp:keywords/>
  <dcterms:created xsi:type="dcterms:W3CDTF">2026-09-28T15:16:35Z</dcterms:created>
  <dcterms:modified xsi:type="dcterms:W3CDTF">2026-09-28T15:16:35Z</dcterms:modified>
</cp:coreProperties>
</file>

<file path=docProps/custom.xml><?xml version="1.0" encoding="utf-8"?>
<Properties xmlns="http://schemas.openxmlformats.org/officeDocument/2006/custom-properties" xmlns:vt="http://schemas.openxmlformats.org/officeDocument/2006/docPropsVTypes"/>
</file>