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Records in Context (RiC) - Descriptive Standard - User Guide</w:t>
      </w:r>
    </w:p>
    <w:p>
      <w:pPr>
        <w:pStyle w:val="Author"/>
      </w:pPr>
      <w:r>
        <w:t xml:space="preserve">The Archive and Heritage Group (Pty) Ltd</w:t>
      </w:r>
    </w:p>
    <w:bookmarkStart w:id="30" w:name="Xb966e5bfd58b821df2339478382f0c3a8f48a88"/>
    <w:p>
      <w:pPr>
        <w:pStyle w:val="Heading1"/>
      </w:pPr>
      <w:r>
        <w:t xml:space="preserve">Records in Context (RiC) - Descriptive Standard</w:t>
      </w:r>
    </w:p>
    <w:bookmarkStart w:id="20" w:name="user-guide"/>
    <w:p>
      <w:pPr>
        <w:pStyle w:val="Heading2"/>
      </w:pPr>
      <w:r>
        <w:t xml:space="preserve">User Guide</w:t>
      </w:r>
    </w:p>
    <w:p>
      <w:pPr>
        <w:pStyle w:val="FirstParagraph"/>
      </w:pPr>
      <w:r>
        <w:t xml:space="preserve">Catalogue a record in Records in Context (RiC-O 1.0) the same way you would in ISAD(G), RAD, DACS, MODS or Dublin Core - by choosing it as the record’s descriptive standard.</w:t>
      </w:r>
    </w:p>
    <w:p>
      <w:r>
        <w:pict>
          <v:rect style="width:0;height:1.5pt" o:hralign="center" o:hrstd="t" o:hr="t"/>
        </w:pict>
      </w:r>
    </w:p>
    <w:bookmarkEnd w:id="20"/>
    <w:bookmarkStart w:id="21" w:name="what-this-is-and-what-it-is-not"/>
    <w:p>
      <w:pPr>
        <w:pStyle w:val="Heading2"/>
      </w:pPr>
      <w:r>
        <w:t xml:space="preserve">What this is (and what it is not)</w:t>
      </w:r>
    </w:p>
    <w:p>
      <w:pPr>
        <w:pStyle w:val="FirstParagraph"/>
      </w:pPr>
      <w:r>
        <w:t xml:space="preserve">There are two RiC features in the system, and it helps to keep them apart.</w:t>
      </w:r>
    </w:p>
    <w:p>
      <w:pPr>
        <w:numPr>
          <w:ilvl w:val="0"/>
          <w:numId w:val="1001"/>
        </w:numPr>
        <w:pStyle w:val="Compact"/>
      </w:pPr>
      <w:r>
        <w:t xml:space="preserve">The</w:t>
      </w:r>
      <w:r>
        <w:t xml:space="preserve"> </w:t>
      </w:r>
      <w:r>
        <w:rPr>
          <w:bCs/>
          <w:b/>
        </w:rPr>
        <w:t xml:space="preserve">RiC Explorer</w:t>
      </w:r>
      <w:r>
        <w:t xml:space="preserve"> </w:t>
      </w:r>
      <w:r>
        <w:t xml:space="preserve">is the graph view - it</w:t>
      </w:r>
      <w:r>
        <w:t xml:space="preserve"> </w:t>
      </w:r>
      <w:r>
        <w:rPr>
          <w:iCs/>
          <w:i/>
        </w:rPr>
        <w:t xml:space="preserve">visualises</w:t>
      </w:r>
      <w:r>
        <w:t xml:space="preserve"> </w:t>
      </w:r>
      <w:r>
        <w:t xml:space="preserve">how a record connects to agents, places and other records. It is read-only exploration.</w:t>
      </w:r>
    </w:p>
    <w:p>
      <w:pPr>
        <w:numPr>
          <w:ilvl w:val="0"/>
          <w:numId w:val="1001"/>
        </w:numPr>
        <w:pStyle w:val="Compact"/>
      </w:pPr>
      <w:r>
        <w:t xml:space="preserve">The</w:t>
      </w:r>
      <w:r>
        <w:t xml:space="preserve"> </w:t>
      </w:r>
      <w:r>
        <w:rPr>
          <w:bCs/>
          <w:b/>
        </w:rPr>
        <w:t xml:space="preserve">RiC descriptive standard</w:t>
      </w:r>
      <w:r>
        <w:t xml:space="preserve"> </w:t>
      </w:r>
      <w:r>
        <w:t xml:space="preserve">(this guide) is about</w:t>
      </w:r>
      <w:r>
        <w:t xml:space="preserve"> </w:t>
      </w:r>
      <w:r>
        <w:rPr>
          <w:iCs/>
          <w:i/>
        </w:rPr>
        <w:t xml:space="preserve">cataloguing</w:t>
      </w:r>
      <w:r>
        <w:t xml:space="preserve">. You pick</w:t>
      </w:r>
      <w:r>
        <w:t xml:space="preserve"> </w:t>
      </w:r>
      <w:r>
        <w:t xml:space="preserve">“</w:t>
      </w:r>
      <w:r>
        <w:t xml:space="preserve">Records in Context (RiC)</w:t>
      </w:r>
      <w:r>
        <w:t xml:space="preserve">”</w:t>
      </w:r>
      <w:r>
        <w:t xml:space="preserve"> </w:t>
      </w:r>
      <w:r>
        <w:t xml:space="preserve">as a record’s standard, and the edit form, the record page, and the export all switch to a RiC-oriented shape - a RiC-O entity type, RiC-O field labels, and typed RiC relations you can add by hand.</w:t>
      </w:r>
    </w:p>
    <w:p>
      <w:pPr>
        <w:pStyle w:val="FirstParagraph"/>
      </w:pPr>
      <w:r>
        <w:t xml:space="preserve">A record catalogued in RiC is still an ordinary archival description underneath. Nothing is duplicated or moved; the RiC layer sits on top of the record you already have.</w:t>
      </w:r>
    </w:p>
    <w:p>
      <w:r>
        <w:pict>
          <v:rect style="width:0;height:1.5pt" o:hralign="center" o:hrstd="t" o:hr="t"/>
        </w:pict>
      </w:r>
    </w:p>
    <w:bookmarkEnd w:id="21"/>
    <w:bookmarkStart w:id="22" w:name="choosing-ric-for-a-record"/>
    <w:p>
      <w:pPr>
        <w:pStyle w:val="Heading2"/>
      </w:pPr>
      <w:r>
        <w:t xml:space="preserve">Choosing RiC for a record</w:t>
      </w:r>
    </w:p>
    <w:p>
      <w:pPr>
        <w:pStyle w:val="FirstParagraph"/>
      </w:pPr>
      <w:r>
        <w:t xml:space="preserve">RiC appears in the same</w:t>
      </w:r>
      <w:r>
        <w:t xml:space="preserve"> </w:t>
      </w:r>
      <w:r>
        <w:rPr>
          <w:bCs/>
          <w:b/>
        </w:rPr>
        <w:t xml:space="preserve">Display standard</w:t>
      </w:r>
      <w:r>
        <w:t xml:space="preserve"> </w:t>
      </w:r>
      <w:r>
        <w:t xml:space="preserve">dropdown as ISAD(G), RAD, DACS, MODS and Dublin Core. Its full label reads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Records in Context (RiC-O 1.0), International Council on Archives</w:t>
      </w:r>
      <w:r>
        <w:rPr>
          <w:iCs/>
          <w:i/>
        </w:rPr>
        <w:t xml:space="preserve">”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Add / edit archival description</w:t>
      </w:r>
      <w:r>
        <w:br/>
      </w:r>
      <w:r>
        <w:rPr>
          <w:rStyle w:val="VerbatimChar"/>
        </w:rPr>
        <w:t xml:space="preserve">+-------------------------------------------------------------+</w:t>
      </w:r>
      <w:r>
        <w:br/>
      </w:r>
      <w:r>
        <w:rPr>
          <w:rStyle w:val="VerbatimChar"/>
        </w:rPr>
        <w:t xml:space="preserve">| Display standard *                                          |</w:t>
      </w:r>
      <w:r>
        <w:br/>
      </w:r>
      <w:r>
        <w:rPr>
          <w:rStyle w:val="VerbatimChar"/>
        </w:rPr>
        <w:t xml:space="preserve">|  ( ) ISAD(G), 2nd ed.                                        |</w:t>
      </w:r>
      <w:r>
        <w:br/>
      </w:r>
      <w:r>
        <w:rPr>
          <w:rStyle w:val="VerbatimChar"/>
        </w:rPr>
        <w:t xml:space="preserve">|  ( ) RAD, July 2008                                         |</w:t>
      </w:r>
      <w:r>
        <w:br/>
      </w:r>
      <w:r>
        <w:rPr>
          <w:rStyle w:val="VerbatimChar"/>
        </w:rPr>
        <w:t xml:space="preserve">|  ( ) DACS, 2nd ed.                                          |</w:t>
      </w:r>
      <w:r>
        <w:br/>
      </w:r>
      <w:r>
        <w:rPr>
          <w:rStyle w:val="VerbatimChar"/>
        </w:rPr>
        <w:t xml:space="preserve">|  (o) Records in Context (RiC-O 1.0)   &lt;- choose this        |</w:t>
      </w:r>
      <w:r>
        <w:br/>
      </w:r>
      <w:r>
        <w:rPr>
          <w:rStyle w:val="VerbatimChar"/>
        </w:rPr>
        <w:t xml:space="preserve">+-------------------------------------------------------------+</w:t>
      </w:r>
    </w:p>
    <w:p>
      <w:pPr>
        <w:pStyle w:val="FirstParagraph"/>
      </w:pPr>
      <w:r>
        <w:rPr>
          <w:bCs/>
          <w:b/>
        </w:rPr>
        <w:t xml:space="preserve">On a new record.</w:t>
      </w:r>
      <w:r>
        <w:t xml:space="preserve"> </w:t>
      </w:r>
      <w:r>
        <w:t xml:space="preserve">Use</w:t>
      </w:r>
      <w:r>
        <w:t xml:space="preserve"> </w:t>
      </w:r>
      <w:r>
        <w:rPr>
          <w:bCs/>
          <w:b/>
        </w:rPr>
        <w:t xml:space="preserve">Add &gt; Records in Context</w:t>
      </w:r>
      <w:r>
        <w:t xml:space="preserve"> </w:t>
      </w:r>
      <w:r>
        <w:t xml:space="preserve">from the main menu, or pick RiC in the Display standard dropdown on the add form. The form reloads into the RiC field set.</w:t>
      </w:r>
    </w:p>
    <w:p>
      <w:pPr>
        <w:pStyle w:val="BodyText"/>
      </w:pPr>
      <w:r>
        <w:rPr>
          <w:bCs/>
          <w:b/>
        </w:rPr>
        <w:t xml:space="preserve">On an existing record.</w:t>
      </w:r>
      <w:r>
        <w:t xml:space="preserve"> </w:t>
      </w:r>
      <w:r>
        <w:t xml:space="preserve">Open the record for editing and change the</w:t>
      </w:r>
      <w:r>
        <w:t xml:space="preserve"> </w:t>
      </w:r>
      <w:r>
        <w:rPr>
          <w:bCs/>
          <w:b/>
        </w:rPr>
        <w:t xml:space="preserve">Display standard</w:t>
      </w:r>
      <w:r>
        <w:t xml:space="preserve"> </w:t>
      </w:r>
      <w:r>
        <w:t xml:space="preserve">dropdown to RiC. The form saves and reloads into the RiC field set, keeping every value you had already entered - a fonds catalogued in ISAD does not lose its title, dates or notes when you switch it to RiC.</w:t>
      </w:r>
    </w:p>
    <w:p>
      <w:pPr>
        <w:pStyle w:val="BodyText"/>
      </w:pPr>
      <w:r>
        <w:rPr>
          <w:bCs/>
          <w:b/>
        </w:rPr>
        <w:t xml:space="preserve">As a child.</w:t>
      </w:r>
      <w:r>
        <w:t xml:space="preserve"> </w:t>
      </w:r>
      <w:r>
        <w:t xml:space="preserve">On any RiC record’s panel there is a</w:t>
      </w:r>
      <w:r>
        <w:t xml:space="preserve"> </w:t>
      </w:r>
      <w:r>
        <w:rPr>
          <w:bCs/>
          <w:b/>
        </w:rPr>
        <w:t xml:space="preserve">Create RiC child</w:t>
      </w:r>
      <w:r>
        <w:t xml:space="preserve"> </w:t>
      </w:r>
      <w:r>
        <w:t xml:space="preserve">button. It opens the add form already set to RiC and already parented to the record you were viewing.</w:t>
      </w:r>
    </w:p>
    <w:p>
      <w:r>
        <w:pict>
          <v:rect style="width:0;height:1.5pt" o:hralign="center" o:hrstd="t" o:hr="t"/>
        </w:pict>
      </w:r>
    </w:p>
    <w:bookmarkEnd w:id="22"/>
    <w:bookmarkStart w:id="25" w:name="the-capture-form"/>
    <w:p>
      <w:pPr>
        <w:pStyle w:val="Heading2"/>
      </w:pPr>
      <w:r>
        <w:t xml:space="preserve">The capture form</w:t>
      </w:r>
    </w:p>
    <w:p>
      <w:pPr>
        <w:pStyle w:val="FirstParagraph"/>
      </w:pPr>
      <w:r>
        <w:t xml:space="preserve">The RiC edit form carries the full archival field set - Identity, Context, Content and structure, Conditions, Allied materials, Notes - exactly as ISAD does. Nothing an archivist expects is missing. Two things are different.</w:t>
      </w:r>
    </w:p>
    <w:bookmarkStart w:id="23" w:name="a-records-in-context-ric-section"/>
    <w:p>
      <w:pPr>
        <w:pStyle w:val="Heading3"/>
      </w:pPr>
      <w:r>
        <w:t xml:space="preserve">1. A</w:t>
      </w:r>
      <w:r>
        <w:t xml:space="preserve"> </w:t>
      </w:r>
      <w:r>
        <w:t xml:space="preserve">“</w:t>
      </w:r>
      <w:r>
        <w:t xml:space="preserve">Records in Context (RiC)</w:t>
      </w:r>
      <w:r>
        <w:t xml:space="preserve">”</w:t>
      </w:r>
      <w:r>
        <w:t xml:space="preserve"> </w:t>
      </w:r>
      <w:r>
        <w:t xml:space="preserve">section</w:t>
      </w:r>
    </w:p>
    <w:p>
      <w:pPr>
        <w:pStyle w:val="FirstParagraph"/>
      </w:pPr>
      <w:r>
        <w:t xml:space="preserve">Near the top of the form sits a dedicated RiC section with the fields RiC-O has and ISAD does not: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RiC-O entity type</w:t>
      </w:r>
      <w:r>
        <w:t xml:space="preserve"> </w:t>
      </w:r>
      <w:r>
        <w:t xml:space="preserve">- how this record is typed in the ontology: Record, Record Set, Record Part, Record Resource or Instantiation. A fonds is usually a</w:t>
      </w:r>
      <w:r>
        <w:t xml:space="preserve"> </w:t>
      </w:r>
      <w:r>
        <w:rPr>
          <w:iCs/>
          <w:i/>
        </w:rPr>
        <w:t xml:space="preserve">Record Set</w:t>
      </w:r>
      <w:r>
        <w:t xml:space="preserve">; a single item is usually a</w:t>
      </w:r>
      <w:r>
        <w:t xml:space="preserve"> </w:t>
      </w:r>
      <w:r>
        <w:rPr>
          <w:iCs/>
          <w:i/>
        </w:rPr>
        <w:t xml:space="preserve">Record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Authenticity note</w:t>
      </w:r>
      <w:r>
        <w:t xml:space="preserve"> </w:t>
      </w:r>
      <w:r>
        <w:t xml:space="preserve">(</w:t>
      </w:r>
      <w:r>
        <w:rPr>
          <w:rStyle w:val="VerbatimChar"/>
        </w:rPr>
        <w:t xml:space="preserve">rico:authenticityNote</w:t>
      </w:r>
      <w:r>
        <w:t xml:space="preserve">) - evidence that the record is what it claims to be.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Integrity note</w:t>
      </w:r>
      <w:r>
        <w:t xml:space="preserve"> </w:t>
      </w:r>
      <w:r>
        <w:t xml:space="preserve">(</w:t>
      </w:r>
      <w:r>
        <w:rPr>
          <w:rStyle w:val="VerbatimChar"/>
        </w:rPr>
        <w:t xml:space="preserve">rico:integrityNote</w:t>
      </w:r>
      <w:r>
        <w:t xml:space="preserve">) - evidence that it is complete and unaltered.</w:t>
      </w:r>
    </w:p>
    <w:bookmarkEnd w:id="23"/>
    <w:bookmarkStart w:id="24" w:name="X754dcf20b7728ea138ab9a9857af69518536755"/>
    <w:p>
      <w:pPr>
        <w:pStyle w:val="Heading3"/>
      </w:pPr>
      <w:r>
        <w:t xml:space="preserve">2. Every archival field shows its RiC-O equivalent</w:t>
      </w:r>
    </w:p>
    <w:p>
      <w:pPr>
        <w:pStyle w:val="FirstParagraph"/>
      </w:pPr>
      <w:r>
        <w:t xml:space="preserve">So you can see how the description maps into the ontology, each archival field carries a small badge with its RiC-O property. Some values live directly on the record; others - marked</w:t>
      </w:r>
      <w:r>
        <w:t xml:space="preserve"> </w:t>
      </w:r>
      <w:r>
        <w:t xml:space="preserve">“</w:t>
      </w:r>
      <w:r>
        <w:t xml:space="preserve">via Instantiation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via Activity</w:t>
      </w:r>
      <w:r>
        <w:t xml:space="preserve">”</w:t>
      </w:r>
      <w:r>
        <w:t xml:space="preserve"> </w:t>
      </w:r>
      <w:r>
        <w:t xml:space="preserve">- belong to a related entity in RiC-O rather than to the record itself, and the badge says so plainly instead of pretending otherwise.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Archival 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RiC-O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Identifier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rico:hasOrHadIdentifier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rico:name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Date(s)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rico:hasBeginningDate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rico:hasEndDate</w:t>
            </w:r>
            <w:r>
              <w:t xml:space="preserve"> </w:t>
            </w:r>
            <w:r>
              <w:t xml:space="preserve">(via Activity)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Level of description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rico:hasRecordSetType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Extent and medium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rico:hasExtent</w:t>
            </w:r>
            <w:r>
              <w:t xml:space="preserve"> </w:t>
            </w:r>
            <w:r>
              <w:t xml:space="preserve">(via Instantiation)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 of creator(s)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rico:hasCreator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Repository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rico:hasOrHadHolder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Archival history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rico:history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Scope and content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rico:scope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Conditions governing access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rico:conditionsOfAccess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Conditions governing reproduction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rico:conditionsOfUse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Language(s) of material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rico:hasOrHadLanguage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Related units of description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rico:isAssociatedWithRecordResource</w:t>
            </w:r>
          </w:p>
        </w:tc>
      </w:tr>
    </w:tbl>
    <w:p>
      <w:pPr>
        <w:pStyle w:val="BodyText"/>
      </w:pPr>
      <w:r>
        <w:t xml:space="preserve">You do not have to do anything with the badges - they are guidance. Identifier, Scope and content, and Archival history are captured once, in the ordinary archival fields; the export reads them straight from there.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the-record-page-the-ric-panel"/>
    <w:p>
      <w:pPr>
        <w:pStyle w:val="Heading2"/>
      </w:pPr>
      <w:r>
        <w:t xml:space="preserve">The record page: the RiC panel</w:t>
      </w:r>
    </w:p>
    <w:p>
      <w:pPr>
        <w:pStyle w:val="FirstParagraph"/>
      </w:pPr>
      <w:r>
        <w:t xml:space="preserve">Open a RiC record and a</w:t>
      </w:r>
      <w:r>
        <w:t xml:space="preserve"> </w:t>
      </w:r>
      <w:r>
        <w:rPr>
          <w:bCs/>
          <w:b/>
        </w:rPr>
        <w:t xml:space="preserve">Records in Context (RiC)</w:t>
      </w:r>
      <w:r>
        <w:t xml:space="preserve"> </w:t>
      </w:r>
      <w:r>
        <w:t xml:space="preserve">panel appears on the page. It shows, in read-only form for the public and with editing controls for staff:</w:t>
      </w:r>
    </w:p>
    <w:p>
      <w:pPr>
        <w:numPr>
          <w:ilvl w:val="0"/>
          <w:numId w:val="1003"/>
        </w:numPr>
        <w:pStyle w:val="Compact"/>
      </w:pPr>
      <w:r>
        <w:t xml:space="preserve">the RiC-O entity type and the RiC-specific notes;</w:t>
      </w:r>
    </w:p>
    <w:p>
      <w:pPr>
        <w:numPr>
          <w:ilvl w:val="0"/>
          <w:numId w:val="1003"/>
        </w:numPr>
        <w:pStyle w:val="Compact"/>
      </w:pPr>
      <w:r>
        <w:t xml:space="preserve">RiC-O relations derived automatically from the description - subjects become</w:t>
      </w:r>
      <w:r>
        <w:t xml:space="preserve"> </w:t>
      </w:r>
      <w:r>
        <w:rPr>
          <w:rStyle w:val="VerbatimChar"/>
        </w:rPr>
        <w:t xml:space="preserve">rico:hasOrHadSubject</w:t>
      </w:r>
      <w:r>
        <w:t xml:space="preserve">, places</w:t>
      </w:r>
      <w:r>
        <w:t xml:space="preserve"> </w:t>
      </w:r>
      <w:r>
        <w:rPr>
          <w:rStyle w:val="VerbatimChar"/>
        </w:rPr>
        <w:t xml:space="preserve">rico:hasOrHadSpatialCoverage</w:t>
      </w:r>
      <w:r>
        <w:t xml:space="preserve">, genres</w:t>
      </w:r>
      <w:r>
        <w:t xml:space="preserve"> </w:t>
      </w:r>
      <w:r>
        <w:rPr>
          <w:rStyle w:val="VerbatimChar"/>
        </w:rPr>
        <w:t xml:space="preserve">rico:hasDocumentaryFormType</w:t>
      </w:r>
      <w:r>
        <w:t xml:space="preserve">, the repository</w:t>
      </w:r>
      <w:r>
        <w:t xml:space="preserve"> </w:t>
      </w:r>
      <w:r>
        <w:rPr>
          <w:rStyle w:val="VerbatimChar"/>
        </w:rPr>
        <w:t xml:space="preserve">rico:hasOrHadHolder</w:t>
      </w:r>
      <w:r>
        <w:t xml:space="preserve">, name access points</w:t>
      </w:r>
      <w:r>
        <w:t xml:space="preserve"> </w:t>
      </w:r>
      <w:r>
        <w:rPr>
          <w:rStyle w:val="VerbatimChar"/>
        </w:rPr>
        <w:t xml:space="preserve">rico:isAssociatedWith</w:t>
      </w:r>
      <w:r>
        <w:t xml:space="preserve">;</w:t>
      </w:r>
    </w:p>
    <w:p>
      <w:pPr>
        <w:numPr>
          <w:ilvl w:val="0"/>
          <w:numId w:val="1003"/>
        </w:numPr>
        <w:pStyle w:val="Compact"/>
      </w:pPr>
      <w:r>
        <w:t xml:space="preserve">any</w:t>
      </w:r>
      <w:r>
        <w:t xml:space="preserve"> </w:t>
      </w:r>
      <w:r>
        <w:rPr>
          <w:bCs/>
          <w:b/>
        </w:rPr>
        <w:t xml:space="preserve">typed RiC relations</w:t>
      </w:r>
      <w:r>
        <w:t xml:space="preserve"> </w:t>
      </w:r>
      <w:r>
        <w:t xml:space="preserve">you have added by hand (see below);</w:t>
      </w:r>
    </w:p>
    <w:p>
      <w:pPr>
        <w:numPr>
          <w:ilvl w:val="0"/>
          <w:numId w:val="1003"/>
        </w:numPr>
        <w:pStyle w:val="Compact"/>
      </w:pPr>
      <w:r>
        <w:t xml:space="preserve">an</w:t>
      </w:r>
      <w:r>
        <w:t xml:space="preserve"> </w:t>
      </w:r>
      <w:r>
        <w:rPr>
          <w:bCs/>
          <w:b/>
        </w:rPr>
        <w:t xml:space="preserve">Export RiC-O (JSON-LD)</w:t>
      </w:r>
      <w:r>
        <w:t xml:space="preserve"> </w:t>
      </w:r>
      <w:r>
        <w:t xml:space="preserve">button and, where the Explorer is enabled, a</w:t>
      </w:r>
      <w:r>
        <w:t xml:space="preserve"> </w:t>
      </w:r>
      <w:r>
        <w:rPr>
          <w:bCs/>
          <w:b/>
        </w:rPr>
        <w:t xml:space="preserve">View in graph</w:t>
      </w:r>
      <w:r>
        <w:t xml:space="preserve"> </w:t>
      </w:r>
      <w:r>
        <w:t xml:space="preserve">link.</w:t>
      </w:r>
    </w:p>
    <w:p>
      <w:pPr>
        <w:pStyle w:val="FirstParagraph"/>
      </w:pPr>
      <w:r>
        <w:t xml:space="preserve">Editors also get an inline</w:t>
      </w:r>
      <w:r>
        <w:t xml:space="preserve"> </w:t>
      </w:r>
      <w:r>
        <w:rPr>
          <w:bCs/>
          <w:b/>
        </w:rPr>
        <w:t xml:space="preserve">Edit RiC</w:t>
      </w:r>
      <w:r>
        <w:t xml:space="preserve"> </w:t>
      </w:r>
      <w:r>
        <w:t xml:space="preserve">button to change the entity type and the RiC notes without leaving the page.</w:t>
      </w:r>
    </w:p>
    <w:p>
      <w:r>
        <w:pict>
          <v:rect style="width:0;height:1.5pt" o:hralign="center" o:hrstd="t" o:hr="t"/>
        </w:pict>
      </w:r>
    </w:p>
    <w:bookmarkEnd w:id="26"/>
    <w:bookmarkStart w:id="27" w:name="typed-ric-relations"/>
    <w:p>
      <w:pPr>
        <w:pStyle w:val="Heading2"/>
      </w:pPr>
      <w:r>
        <w:t xml:space="preserve">Typed RiC relations</w:t>
      </w:r>
    </w:p>
    <w:p>
      <w:pPr>
        <w:pStyle w:val="FirstParagraph"/>
      </w:pPr>
      <w:r>
        <w:t xml:space="preserve">The derived relations above come from the description for free. Typed RiC relations are the ones you assert deliberately -</w:t>
      </w:r>
      <w:r>
        <w:t xml:space="preserve"> </w:t>
      </w:r>
      <w:r>
        <w:t xml:space="preserve">“</w:t>
      </w:r>
      <w:r>
        <w:t xml:space="preserve">this record</w:t>
      </w:r>
      <w:r>
        <w:t xml:space="preserve"> </w:t>
      </w:r>
      <w:r>
        <w:rPr>
          <w:iCs/>
          <w:i/>
        </w:rPr>
        <w:t xml:space="preserve">has part</w:t>
      </w:r>
      <w:r>
        <w:t xml:space="preserve"> </w:t>
      </w:r>
      <w:r>
        <w:t xml:space="preserve">that one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this record</w:t>
      </w:r>
      <w:r>
        <w:t xml:space="preserve"> </w:t>
      </w:r>
      <w:r>
        <w:rPr>
          <w:iCs/>
          <w:i/>
        </w:rPr>
        <w:t xml:space="preserve">follows</w:t>
      </w:r>
      <w:r>
        <w:t xml:space="preserve"> </w:t>
      </w:r>
      <w:r>
        <w:t xml:space="preserve">that one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this record</w:t>
      </w:r>
      <w:r>
        <w:t xml:space="preserve"> </w:t>
      </w:r>
      <w:r>
        <w:rPr>
          <w:iCs/>
          <w:i/>
        </w:rPr>
        <w:t xml:space="preserve">has provenance</w:t>
      </w:r>
      <w:r>
        <w:t xml:space="preserve"> </w:t>
      </w:r>
      <w:r>
        <w:t xml:space="preserve">in that agent</w:t>
      </w:r>
      <w:r>
        <w:t xml:space="preserve">”</w:t>
      </w:r>
      <w:r>
        <w:t xml:space="preserve">.</w:t>
      </w:r>
    </w:p>
    <w:p>
      <w:pPr>
        <w:pStyle w:val="BodyText"/>
      </w:pPr>
      <w:r>
        <w:t xml:space="preserve">To add one, on the record’s RiC panel:</w:t>
      </w:r>
    </w:p>
    <w:p>
      <w:pPr>
        <w:pStyle w:val="SourceCode"/>
      </w:pPr>
      <w:r>
        <w:rPr>
          <w:rStyle w:val="VerbatimChar"/>
        </w:rPr>
        <w:t xml:space="preserve">Typed RiC relations</w:t>
      </w:r>
      <w:r>
        <w:br/>
      </w:r>
      <w:r>
        <w:rPr>
          <w:rStyle w:val="VerbatimChar"/>
        </w:rPr>
        <w:t xml:space="preserve">  [ rico:hasPart ]  The Smith Correspondence   [x]</w:t>
      </w:r>
      <w:r>
        <w:br/>
      </w:r>
      <w:r>
        <w:rPr>
          <w:rStyle w:val="VerbatimChar"/>
        </w:rPr>
        <w:t xml:space="preserve">  ------------------------------------------------</w:t>
      </w:r>
      <w:r>
        <w:br/>
      </w:r>
      <w:r>
        <w:rPr>
          <w:rStyle w:val="VerbatimChar"/>
        </w:rPr>
        <w:t xml:space="preserve">  ( Has Part          v )  ( Search for a record... )  [ Add ]</w:t>
      </w:r>
    </w:p>
    <w:p>
      <w:pPr>
        <w:numPr>
          <w:ilvl w:val="0"/>
          <w:numId w:val="1004"/>
        </w:numPr>
        <w:pStyle w:val="Compact"/>
      </w:pPr>
      <w:r>
        <w:t xml:space="preserve">Pick a</w:t>
      </w:r>
      <w:r>
        <w:t xml:space="preserve"> </w:t>
      </w:r>
      <w:r>
        <w:rPr>
          <w:bCs/>
          <w:b/>
        </w:rPr>
        <w:t xml:space="preserve">relation type</w:t>
      </w:r>
      <w:r>
        <w:t xml:space="preserve"> </w:t>
      </w:r>
      <w:r>
        <w:t xml:space="preserve">from the dropdown. The list is the 30 RiC-O relation predicates - Has Creator, Has Provenance, Held By, Includes, Has Part, Follows, Documents, and so on.</w:t>
      </w:r>
    </w:p>
    <w:p>
      <w:pPr>
        <w:numPr>
          <w:ilvl w:val="0"/>
          <w:numId w:val="1004"/>
        </w:numPr>
        <w:pStyle w:val="Compact"/>
      </w:pPr>
      <w:r>
        <w:t xml:space="preserve">Start typing in the</w:t>
      </w:r>
      <w:r>
        <w:t xml:space="preserve"> </w:t>
      </w:r>
      <w:r>
        <w:rPr>
          <w:bCs/>
          <w:b/>
        </w:rPr>
        <w:t xml:space="preserve">target</w:t>
      </w:r>
      <w:r>
        <w:t xml:space="preserve"> </w:t>
      </w:r>
      <w:r>
        <w:t xml:space="preserve">box and choose the record you want to relate to from the suggestions.</w:t>
      </w:r>
    </w:p>
    <w:p>
      <w:pPr>
        <w:numPr>
          <w:ilvl w:val="0"/>
          <w:numId w:val="1004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Add</w:t>
      </w:r>
      <w:r>
        <w:t xml:space="preserve">. The relation appears in the list immediately.</w:t>
      </w:r>
    </w:p>
    <w:p>
      <w:pPr>
        <w:pStyle w:val="FirstParagraph"/>
      </w:pPr>
      <w:r>
        <w:t xml:space="preserve">To remove one, click the small</w:t>
      </w:r>
      <w:r>
        <w:t xml:space="preserve"> </w:t>
      </w:r>
      <w:r>
        <w:rPr>
          <w:bCs/>
          <w:b/>
        </w:rPr>
        <w:t xml:space="preserve">x</w:t>
      </w:r>
      <w:r>
        <w:t xml:space="preserve"> </w:t>
      </w:r>
      <w:r>
        <w:t xml:space="preserve">next to it.</w:t>
      </w:r>
    </w:p>
    <w:p>
      <w:pPr>
        <w:pStyle w:val="BodyText"/>
      </w:pPr>
      <w:r>
        <w:t xml:space="preserve">Each relation is stored as a proper archival relationship with a RiC-O predicate attached, so it flows straight into the JSON-LD export and the graph.</w:t>
      </w:r>
    </w:p>
    <w:p>
      <w:r>
        <w:pict>
          <v:rect style="width:0;height:1.5pt" o:hralign="center" o:hrstd="t" o:hr="t"/>
        </w:pict>
      </w:r>
    </w:p>
    <w:bookmarkEnd w:id="27"/>
    <w:bookmarkStart w:id="28" w:name="exporting-ric-o"/>
    <w:p>
      <w:pPr>
        <w:pStyle w:val="Heading2"/>
      </w:pPr>
      <w:r>
        <w:t xml:space="preserve">Exporting RiC-O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Cs/>
          <w:b/>
        </w:rPr>
        <w:t xml:space="preserve">Export RiC-O (JSON-LD)</w:t>
      </w:r>
      <w:r>
        <w:t xml:space="preserve"> </w:t>
      </w:r>
      <w:r>
        <w:t xml:space="preserve">button (also reachable at</w:t>
      </w:r>
      <w:r>
        <w:t xml:space="preserve"> </w:t>
      </w:r>
      <w:r>
        <w:rPr>
          <w:rStyle w:val="VerbatimChar"/>
        </w:rPr>
        <w:t xml:space="preserve">/ricManage/export/&lt;record&gt;</w:t>
      </w:r>
      <w:r>
        <w:t xml:space="preserve">) returns the record as RiC-O JSON-LD: the entity type, the RiC-specific notes, the identifier/scope/history read from the archival fields, the derived subject/place/holder/genre/name relations, and your typed relations. It is a standards-clean serialisation you can hand to any RiC-O consumer.</w:t>
      </w:r>
    </w:p>
    <w:p>
      <w:r>
        <w:pict>
          <v:rect style="width:0;height:1.5pt" o:hralign="center" o:hrstd="t" o:hr="t"/>
        </w:pict>
      </w:r>
    </w:p>
    <w:bookmarkEnd w:id="28"/>
    <w:bookmarkStart w:id="29" w:name="tips"/>
    <w:p>
      <w:pPr>
        <w:pStyle w:val="Heading2"/>
      </w:pPr>
      <w:r>
        <w:t xml:space="preserve">Tips</w:t>
      </w:r>
    </w:p>
    <w:p>
      <w:pPr>
        <w:numPr>
          <w:ilvl w:val="0"/>
          <w:numId w:val="1005"/>
        </w:numPr>
        <w:pStyle w:val="Compact"/>
      </w:pPr>
      <w:r>
        <w:t xml:space="preserve">Switching a record’s standard never deletes data - it only changes which fields the form presents. You can move a record between ISAD and RiC freely.</w:t>
      </w:r>
    </w:p>
    <w:p>
      <w:pPr>
        <w:numPr>
          <w:ilvl w:val="0"/>
          <w:numId w:val="1005"/>
        </w:numPr>
        <w:pStyle w:val="Compact"/>
      </w:pPr>
      <w:r>
        <w:t xml:space="preserve">The RiC panel only shows on records whose standard is RiC (or that already carry RiC metadata). Ordinary records are unaffected.</w:t>
      </w:r>
    </w:p>
    <w:p>
      <w:pPr>
        <w:numPr>
          <w:ilvl w:val="0"/>
          <w:numId w:val="1005"/>
        </w:numPr>
        <w:pStyle w:val="Compact"/>
      </w:pPr>
      <w:r>
        <w:t xml:space="preserve">Editing and adding relations is limited to editors and administrators. The public sees the panel read-only.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cs="Arial" w:eastAsia="Arial" w:hAnsi="Arial"/>
        <w:sz w:val="24"/>
        <w:szCs w:val="24"/>
        <w:lang w:bidi="ar-SA" w:eastAsia="en-US" w:val="en-US"/>
      </w:rPr>
    </w:rPrDefault>
    <w:pPrDefault>
      <w:pPr>
        <w:spacing w:after="200" w:line="360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Records in Context (RiC) - Descriptive Standard - User Guide</dc:title>
  <dc:creator>The Archive and Heritage Group (Pty) Ltd</dc:creator>
  <cp:keywords/>
  <dcterms:created xsi:type="dcterms:W3CDTF">2026-07-29T05:33:31Z</dcterms:created>
  <dcterms:modified xsi:type="dcterms:W3CDTF">2026-07-29T05:33:31Z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