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5.png" ContentType="image/png"/>
  <Override PartName="/word/media/rId29.png" ContentType="image/png"/>
  <Override PartName="/word/media/rId32.png" ContentType="image/png"/>
  <Override PartName="/word/media/rId36.png" ContentType="image/png"/>
  <Override PartName="/word/media/rId39.png" ContentType="image/png"/>
  <Override PartName="/word/media/rId42.png" ContentType="image/png"/>
  <Override PartName="/word/media/rId46.png" ContentType="image/png"/>
  <Override PartName="/word/media/rId49.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Compliance,</w:t>
      </w:r>
      <w:r>
        <w:t xml:space="preserve"> </w:t>
      </w:r>
      <w:r>
        <w:t xml:space="preserve">Part</w:t>
      </w:r>
      <w:r>
        <w:t xml:space="preserve"> </w:t>
      </w:r>
      <w:r>
        <w:t xml:space="preserve">1</w:t>
      </w:r>
      <w:r>
        <w:t xml:space="preserve"> </w:t>
      </w:r>
      <w:r>
        <w:t xml:space="preserve">-</w:t>
      </w:r>
      <w:r>
        <w:t xml:space="preserve"> </w:t>
      </w:r>
      <w:r>
        <w:t xml:space="preserve">Running</w:t>
      </w:r>
      <w:r>
        <w:t xml:space="preserve"> </w:t>
      </w:r>
      <w:r>
        <w:t xml:space="preserve">a</w:t>
      </w:r>
      <w:r>
        <w:t xml:space="preserve"> </w:t>
      </w:r>
      <w:r>
        <w:t xml:space="preserve">POPIA</w:t>
      </w:r>
      <w:r>
        <w:t xml:space="preserve"> </w:t>
      </w:r>
      <w:r>
        <w:t xml:space="preserve">Programme</w:t>
      </w:r>
    </w:p>
    <w:p>
      <w:pPr>
        <w:pStyle w:val="Subtitle"/>
      </w:pPr>
      <w:r>
        <w:t xml:space="preserve">Step-by-step</w:t>
      </w:r>
      <w:r>
        <w:t xml:space="preserve"> </w:t>
      </w:r>
      <w:r>
        <w:t xml:space="preserve">guide</w:t>
      </w:r>
      <w:r>
        <w:t xml:space="preserve"> </w:t>
      </w:r>
      <w:r>
        <w:t xml:space="preserve">to</w:t>
      </w:r>
      <w:r>
        <w:t xml:space="preserve"> </w:t>
      </w:r>
      <w:r>
        <w:t xml:space="preserve">the</w:t>
      </w:r>
      <w:r>
        <w:t xml:space="preserve"> </w:t>
      </w:r>
      <w:r>
        <w:t xml:space="preserve">privacy</w:t>
      </w:r>
      <w:r>
        <w:t xml:space="preserve"> </w:t>
      </w:r>
      <w:r>
        <w:t xml:space="preserve">settings,</w:t>
      </w:r>
      <w:r>
        <w:t xml:space="preserve"> </w:t>
      </w:r>
      <w:r>
        <w:t xml:space="preserve">the</w:t>
      </w:r>
      <w:r>
        <w:t xml:space="preserve"> </w:t>
      </w:r>
      <w:r>
        <w:t xml:space="preserve">processing</w:t>
      </w:r>
      <w:r>
        <w:t xml:space="preserve"> </w:t>
      </w:r>
      <w:r>
        <w:t xml:space="preserve">register,</w:t>
      </w:r>
      <w:r>
        <w:t xml:space="preserve"> </w:t>
      </w:r>
      <w:r>
        <w:t xml:space="preserve">data</w:t>
      </w:r>
      <w:r>
        <w:t xml:space="preserve"> </w:t>
      </w:r>
      <w:r>
        <w:t xml:space="preserve">subject</w:t>
      </w:r>
      <w:r>
        <w:t xml:space="preserve"> </w:t>
      </w:r>
      <w:r>
        <w:t xml:space="preserve">requests</w:t>
      </w:r>
      <w:r>
        <w:t xml:space="preserve"> </w:t>
      </w:r>
      <w:r>
        <w:t xml:space="preserve">and</w:t>
      </w:r>
      <w:r>
        <w:t xml:space="preserve"> </w:t>
      </w:r>
      <w:r>
        <w:t xml:space="preserve">breach</w:t>
      </w:r>
      <w:r>
        <w:t xml:space="preserve"> </w:t>
      </w:r>
      <w:r>
        <w:t xml:space="preserve">reporting</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Compliance, Part 1 - Running a POPIA Programme</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12 October 2026</w:t>
            </w:r>
          </w:p>
        </w:tc>
      </w:tr>
      <w:tr>
        <w:tc>
          <w:tcPr/>
          <w:p>
            <w:pPr>
              <w:pStyle w:val="Compact"/>
              <w:jc w:val="left"/>
            </w:pPr>
            <w:r>
              <w:t xml:space="preserve">Prepared for</w:t>
            </w:r>
          </w:p>
        </w:tc>
        <w:tc>
          <w:tcPr/>
          <w:p>
            <w:pPr>
              <w:pStyle w:val="Compact"/>
              <w:jc w:val="left"/>
            </w:pPr>
            <w:r>
              <w:t xml:space="preserve">Information officers and administrators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AHG-TRN-CMP-01</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1 of the compliance training videos. It walks through a POPIA programme in Access to Memory: setting the privacy settings, recording a processing activity, taking a data subject’s request from receipt to completion, and reporting a breach. Allow about 15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administrator account</w:t>
            </w:r>
          </w:p>
        </w:tc>
        <w:tc>
          <w:tcPr/>
          <w:p>
            <w:pPr>
              <w:pStyle w:val="Compact"/>
              <w:jc w:val="left"/>
            </w:pPr>
            <w:r>
              <w:t xml:space="preserve">The privacy module sits under</w:t>
            </w:r>
            <w:r>
              <w:t xml:space="preserve"> </w:t>
            </w:r>
            <w:r>
              <w:rPr>
                <w:bCs/>
                <w:b/>
              </w:rPr>
              <w:t xml:space="preserve">Admin &gt; Privacy</w:t>
            </w:r>
            <w:r>
              <w:t xml:space="preserve">.</w:t>
            </w:r>
          </w:p>
        </w:tc>
      </w:tr>
      <w:tr>
        <w:tc>
          <w:tcPr/>
          <w:p>
            <w:pPr>
              <w:pStyle w:val="Compact"/>
              <w:jc w:val="left"/>
            </w:pPr>
            <w:r>
              <w:t xml:space="preserve">A jurisdiction</w:t>
            </w:r>
          </w:p>
        </w:tc>
        <w:tc>
          <w:tcPr/>
          <w:p>
            <w:pPr>
              <w:pStyle w:val="Compact"/>
              <w:jc w:val="left"/>
            </w:pPr>
            <w:r>
              <w:t xml:space="preserve">Six laws are supported: POPIA, NDPA, the Kenya DPA, the GDPR, PIPEDA and the CCPA. This guide uses POPIA.</w:t>
            </w:r>
          </w:p>
        </w:tc>
      </w:tr>
    </w:tbl>
    <w:bookmarkEnd w:id="20"/>
    <w:bookmarkStart w:id="24" w:name="the-compliance-dashboard"/>
    <w:p>
      <w:pPr>
        <w:pStyle w:val="Heading2"/>
      </w:pPr>
      <w:r>
        <w:t xml:space="preserve">1. The compliance dashboard</w:t>
      </w:r>
    </w:p>
    <w:p>
      <w:pPr>
        <w:pStyle w:val="FirstParagraph"/>
      </w:pPr>
      <w:r>
        <w:t xml:space="preserve">Open</w:t>
      </w:r>
      <w:r>
        <w:t xml:space="preserve"> </w:t>
      </w:r>
      <w:r>
        <w:rPr>
          <w:bCs/>
          <w:b/>
        </w:rPr>
        <w:t xml:space="preserve">Admin &gt; Privacy</w:t>
      </w:r>
      <w:r>
        <w:t xml:space="preserve"> </w:t>
      </w:r>
      <w:r>
        <w:t xml:space="preserve">(</w:t>
      </w:r>
      <w:r>
        <w:rPr>
          <w:rStyle w:val="VerbatimChar"/>
        </w:rPr>
        <w:t xml:space="preserve">/admin/privacy</w:t>
      </w:r>
      <w:r>
        <w:t xml:space="preserve">). The dashboard shows the programme at a glance: open requests, breaches, processing activities and a compliance score.</w:t>
      </w:r>
    </w:p>
    <w:p>
      <w:pPr>
        <w:pStyle w:val="CaptionedFigure"/>
      </w:pPr>
      <w:r>
        <w:drawing>
          <wp:inline>
            <wp:extent cx="5778500" cy="3250406"/>
            <wp:effectExtent b="0" l="0" r="0" t="0"/>
            <wp:docPr descr="The compliance dashboard." title="" id="22" name="Picture"/>
            <a:graphic>
              <a:graphicData uri="http://schemas.openxmlformats.org/drawingml/2006/picture">
                <pic:pic>
                  <pic:nvPicPr>
                    <pic:cNvPr descr="images/training-compliance-1/01-dashboard.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compliance dashboard.</w:t>
      </w:r>
    </w:p>
    <w:bookmarkEnd w:id="24"/>
    <w:bookmarkStart w:id="28" w:name="settings-and-the-legal-clocks"/>
    <w:p>
      <w:pPr>
        <w:pStyle w:val="Heading2"/>
      </w:pPr>
      <w:r>
        <w:t xml:space="preserve">2. Settings and the legal clocks</w:t>
      </w:r>
    </w:p>
    <w:p>
      <w:pPr>
        <w:pStyle w:val="FirstParagraph"/>
      </w:pPr>
      <w:r>
        <w:t xml:space="preserve">Click</w:t>
      </w:r>
      <w:r>
        <w:t xml:space="preserve"> </w:t>
      </w:r>
      <w:r>
        <w:rPr>
          <w:bCs/>
          <w:b/>
        </w:rPr>
        <w:t xml:space="preserve">Settings</w:t>
      </w:r>
      <w:r>
        <w:t xml:space="preserve">. Each jurisdiction has its own tab. On</w:t>
      </w:r>
      <w:r>
        <w:t xml:space="preserve"> </w:t>
      </w:r>
      <w:r>
        <w:rPr>
          <w:bCs/>
          <w:b/>
        </w:rPr>
        <w:t xml:space="preserve">POPIA</w:t>
      </w:r>
      <w:r>
        <w:t xml:space="preserve">, record the organisation name, registration number and data protection email, and set the clocks: the days allowed to answer a data subject (30 by default) and the hours within which a breach must be reported (72 by default). The default retention period sits here too. Add the information officer under</w:t>
      </w:r>
      <w:r>
        <w:t xml:space="preserve"> </w:t>
      </w:r>
      <w:r>
        <w:rPr>
          <w:bCs/>
          <w:b/>
        </w:rPr>
        <w:t xml:space="preserve">Privacy Officers</w:t>
      </w:r>
      <w:r>
        <w:t xml:space="preserve">, then</w:t>
      </w:r>
      <w:r>
        <w:t xml:space="preserve"> </w:t>
      </w:r>
      <w:r>
        <w:rPr>
          <w:bCs/>
          <w:b/>
        </w:rPr>
        <w:t xml:space="preserve">Save Configuration</w:t>
      </w:r>
      <w:r>
        <w:t xml:space="preserve">.</w:t>
      </w:r>
    </w:p>
    <w:p>
      <w:pPr>
        <w:pStyle w:val="CaptionedFigure"/>
      </w:pPr>
      <w:r>
        <w:drawing>
          <wp:inline>
            <wp:extent cx="5778500" cy="3250406"/>
            <wp:effectExtent b="0" l="0" r="0" t="0"/>
            <wp:docPr descr="POPIA settings." title="" id="26" name="Picture"/>
            <a:graphic>
              <a:graphicData uri="http://schemas.openxmlformats.org/drawingml/2006/picture">
                <pic:pic>
                  <pic:nvPicPr>
                    <pic:cNvPr descr="images/training-compliance-1/02-settings.png" id="27" name="Picture"/>
                    <pic:cNvPicPr>
                      <a:picLocks noChangeArrowheads="1" noChangeAspect="1"/>
                    </pic:cNvPicPr>
                  </pic:nvPicPr>
                  <pic:blipFill>
                    <a:blip r:embed="rId2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POPIA settings.</w:t>
      </w:r>
    </w:p>
    <w:bookmarkEnd w:id="28"/>
    <w:bookmarkStart w:id="35" w:name="the-processing-register"/>
    <w:p>
      <w:pPr>
        <w:pStyle w:val="Heading2"/>
      </w:pPr>
      <w:r>
        <w:t xml:space="preserve">3. The processing register</w:t>
      </w:r>
    </w:p>
    <w:p>
      <w:pPr>
        <w:pStyle w:val="FirstParagraph"/>
      </w:pPr>
      <w:r>
        <w:t xml:space="preserve">POPIA expects a record of every processing activity. Click</w:t>
      </w:r>
      <w:r>
        <w:t xml:space="preserve"> </w:t>
      </w:r>
      <w:r>
        <w:rPr>
          <w:bCs/>
          <w:b/>
        </w:rPr>
        <w:t xml:space="preserve">Add Activity</w:t>
      </w:r>
      <w:r>
        <w:t xml:space="preserve"> </w:t>
      </w:r>
      <w:r>
        <w:t xml:space="preserve">and describe what is processed, why, and on what lawful basis. The example is registering researchers for the reading room, by a public body.</w:t>
      </w:r>
    </w:p>
    <w:p>
      <w:pPr>
        <w:pStyle w:val="CaptionedFigure"/>
      </w:pPr>
      <w:r>
        <w:drawing>
          <wp:inline>
            <wp:extent cx="5778500" cy="3250406"/>
            <wp:effectExtent b="0" l="0" r="0" t="0"/>
            <wp:docPr descr="A new processing activity." title="" id="30" name="Picture"/>
            <a:graphic>
              <a:graphicData uri="http://schemas.openxmlformats.org/drawingml/2006/picture">
                <pic:pic>
                  <pic:nvPicPr>
                    <pic:cNvPr descr="images/training-compliance-1/03-ropa-form.png" id="31" name="Picture"/>
                    <pic:cNvPicPr>
                      <a:picLocks noChangeArrowheads="1" noChangeAspect="1"/>
                    </pic:cNvPicPr>
                  </pic:nvPicPr>
                  <pic:blipFill>
                    <a:blip r:embed="rId2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new processing activity.</w:t>
      </w:r>
    </w:p>
    <w:p>
      <w:pPr>
        <w:pStyle w:val="BodyText"/>
      </w:pPr>
      <w:r>
        <w:t xml:space="preserve">Under</w:t>
      </w:r>
      <w:r>
        <w:t xml:space="preserve"> </w:t>
      </w:r>
      <w:r>
        <w:rPr>
          <w:bCs/>
          <w:b/>
        </w:rPr>
        <w:t xml:space="preserve">Data Details</w:t>
      </w:r>
      <w:r>
        <w:t xml:space="preserve">, add the categories of personal data and of data subjects, the recipients, any transfers outside the jurisdiction, and the retention period. Tick</w:t>
      </w:r>
      <w:r>
        <w:t xml:space="preserve"> </w:t>
      </w:r>
      <w:r>
        <w:rPr>
          <w:bCs/>
          <w:b/>
        </w:rPr>
        <w:t xml:space="preserve">DPIA Required</w:t>
      </w:r>
      <w:r>
        <w:t xml:space="preserve"> </w:t>
      </w:r>
      <w:r>
        <w:t xml:space="preserve">if the activity needs an impact assessment. Click</w:t>
      </w:r>
      <w:r>
        <w:t xml:space="preserve"> </w:t>
      </w:r>
      <w:r>
        <w:rPr>
          <w:bCs/>
          <w:b/>
        </w:rPr>
        <w:t xml:space="preserve">Save Activity</w:t>
      </w:r>
      <w:r>
        <w:t xml:space="preserve">. The activity can then be submitted to the information officer for review.</w:t>
      </w:r>
    </w:p>
    <w:p>
      <w:pPr>
        <w:pStyle w:val="CaptionedFigure"/>
      </w:pPr>
      <w:r>
        <w:drawing>
          <wp:inline>
            <wp:extent cx="5778500" cy="3250406"/>
            <wp:effectExtent b="0" l="0" r="0" t="0"/>
            <wp:docPr descr="The activity saved." title="" id="33" name="Picture"/>
            <a:graphic>
              <a:graphicData uri="http://schemas.openxmlformats.org/drawingml/2006/picture">
                <pic:pic>
                  <pic:nvPicPr>
                    <pic:cNvPr descr="images/training-compliance-1/04-ropa-saved.png" id="34" name="Picture"/>
                    <pic:cNvPicPr>
                      <a:picLocks noChangeArrowheads="1" noChangeAspect="1"/>
                    </pic:cNvPicPr>
                  </pic:nvPicPr>
                  <pic:blipFill>
                    <a:blip r:embed="rId3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activity saved.</w:t>
      </w:r>
    </w:p>
    <w:bookmarkEnd w:id="35"/>
    <w:bookmarkStart w:id="45" w:name="a-data-subject-request"/>
    <w:p>
      <w:pPr>
        <w:pStyle w:val="Heading2"/>
      </w:pPr>
      <w:r>
        <w:t xml:space="preserve">4. A data subject request</w:t>
      </w:r>
    </w:p>
    <w:p>
      <w:pPr>
        <w:pStyle w:val="FirstParagraph"/>
      </w:pPr>
      <w:r>
        <w:t xml:space="preserve">A former researcher asks for a copy of her personal information. Click</w:t>
      </w:r>
      <w:r>
        <w:t xml:space="preserve"> </w:t>
      </w:r>
      <w:r>
        <w:rPr>
          <w:bCs/>
          <w:b/>
        </w:rPr>
        <w:t xml:space="preserve">New DSAR</w:t>
      </w:r>
      <w:r>
        <w:t xml:space="preserve">.</w:t>
      </w:r>
    </w:p>
    <w:p>
      <w:pPr>
        <w:pStyle w:val="BodyText"/>
      </w:pPr>
      <w:r>
        <w:t xml:space="preserve">The deliberate mistake: create it without the requester’s name. The form refuses it and keeps everything typed. Add the name, choose the request type (here, Right of Access) and describe the request, then create it.</w:t>
      </w:r>
    </w:p>
    <w:p>
      <w:pPr>
        <w:pStyle w:val="CaptionedFigure"/>
      </w:pPr>
      <w:r>
        <w:drawing>
          <wp:inline>
            <wp:extent cx="5778500" cy="3250406"/>
            <wp:effectExtent b="0" l="0" r="0" t="0"/>
            <wp:docPr descr="The request refused without a name." title="" id="37" name="Picture"/>
            <a:graphic>
              <a:graphicData uri="http://schemas.openxmlformats.org/drawingml/2006/picture">
                <pic:pic>
                  <pic:nvPicPr>
                    <pic:cNvPr descr="images/training-compliance-1/05-dsar-name-missing.png" id="38" name="Picture"/>
                    <pic:cNvPicPr>
                      <a:picLocks noChangeArrowheads="1" noChangeAspect="1"/>
                    </pic:cNvPicPr>
                  </pic:nvPicPr>
                  <pic:blipFill>
                    <a:blip r:embed="rId3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request refused without a name.</w:t>
      </w:r>
    </w:p>
    <w:p>
      <w:pPr>
        <w:pStyle w:val="BodyText"/>
      </w:pPr>
      <w:r>
        <w:t xml:space="preserve">The request gets a reference (for example</w:t>
      </w:r>
      <w:r>
        <w:t xml:space="preserve"> </w:t>
      </w:r>
      <w:r>
        <w:rPr>
          <w:rStyle w:val="VerbatimChar"/>
        </w:rPr>
        <w:t xml:space="preserve">DSAR-PO-202610-0007</w:t>
      </w:r>
      <w:r>
        <w:t xml:space="preserve">) and a due date 30 days after receipt, with the days remaining counted down.</w:t>
      </w:r>
    </w:p>
    <w:p>
      <w:pPr>
        <w:pStyle w:val="CaptionedFigure"/>
      </w:pPr>
      <w:r>
        <w:drawing>
          <wp:inline>
            <wp:extent cx="5778500" cy="3250406"/>
            <wp:effectExtent b="0" l="0" r="0" t="0"/>
            <wp:docPr descr="The new request and its due date." title="" id="40" name="Picture"/>
            <a:graphic>
              <a:graphicData uri="http://schemas.openxmlformats.org/drawingml/2006/picture">
                <pic:pic>
                  <pic:nvPicPr>
                    <pic:cNvPr descr="images/training-compliance-1/06-dsar-view.png" id="41" name="Picture"/>
                    <pic:cNvPicPr>
                      <a:picLocks noChangeArrowheads="1" noChangeAspect="1"/>
                    </pic:cNvPicPr>
                  </pic:nvPicPr>
                  <pic:blipFill>
                    <a:blip r:embed="rId3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new request and its due date.</w:t>
      </w:r>
    </w:p>
    <w:p>
      <w:pPr>
        <w:pStyle w:val="BodyText"/>
      </w:pPr>
      <w:r>
        <w:t xml:space="preserve">Work it through under</w:t>
      </w:r>
      <w:r>
        <w:t xml:space="preserve"> </w:t>
      </w:r>
      <w:r>
        <w:rPr>
          <w:bCs/>
          <w:b/>
        </w:rPr>
        <w:t xml:space="preserve">Actions</w:t>
      </w:r>
      <w:r>
        <w:t xml:space="preserve">: tick</w:t>
      </w:r>
      <w:r>
        <w:t xml:space="preserve"> </w:t>
      </w:r>
      <w:r>
        <w:rPr>
          <w:bCs/>
          <w:b/>
        </w:rPr>
        <w:t xml:space="preserve">Mark identity as verified</w:t>
      </w:r>
      <w:r>
        <w:t xml:space="preserve">, set the status to</w:t>
      </w:r>
      <w:r>
        <w:t xml:space="preserve"> </w:t>
      </w:r>
      <w:r>
        <w:rPr>
          <w:bCs/>
          <w:b/>
        </w:rPr>
        <w:t xml:space="preserve">In progress</w:t>
      </w:r>
      <w:r>
        <w:t xml:space="preserve">, and once the information has been sent, set it to</w:t>
      </w:r>
      <w:r>
        <w:t xml:space="preserve"> </w:t>
      </w:r>
      <w:r>
        <w:rPr>
          <w:bCs/>
          <w:b/>
        </w:rPr>
        <w:t xml:space="preserve">Completed</w:t>
      </w:r>
      <w:r>
        <w:t xml:space="preserve"> </w:t>
      </w:r>
      <w:r>
        <w:t xml:space="preserve">with a summary of the response. Click</w:t>
      </w:r>
      <w:r>
        <w:t xml:space="preserve"> </w:t>
      </w:r>
      <w:r>
        <w:rPr>
          <w:bCs/>
          <w:b/>
        </w:rPr>
        <w:t xml:space="preserve">Update</w:t>
      </w:r>
      <w:r>
        <w:t xml:space="preserve"> </w:t>
      </w:r>
      <w:r>
        <w:t xml:space="preserve">after each step. Every step is written to the</w:t>
      </w:r>
      <w:r>
        <w:t xml:space="preserve"> </w:t>
      </w:r>
      <w:r>
        <w:rPr>
          <w:bCs/>
          <w:b/>
        </w:rPr>
        <w:t xml:space="preserve">Activity Log</w:t>
      </w:r>
      <w:r>
        <w:t xml:space="preserve"> </w:t>
      </w:r>
      <w:r>
        <w:t xml:space="preserve">with who did it and when. On a completed request the countdown is no longer shown.</w:t>
      </w:r>
    </w:p>
    <w:p>
      <w:pPr>
        <w:pStyle w:val="CaptionedFigure"/>
      </w:pPr>
      <w:r>
        <w:drawing>
          <wp:inline>
            <wp:extent cx="5778500" cy="3250406"/>
            <wp:effectExtent b="0" l="0" r="0" t="0"/>
            <wp:docPr descr="The request completed, with its activity log." title="" id="43" name="Picture"/>
            <a:graphic>
              <a:graphicData uri="http://schemas.openxmlformats.org/drawingml/2006/picture">
                <pic:pic>
                  <pic:nvPicPr>
                    <pic:cNvPr descr="images/training-compliance-1/07-dsar-done.png" id="44" name="Picture"/>
                    <pic:cNvPicPr>
                      <a:picLocks noChangeArrowheads="1" noChangeAspect="1"/>
                    </pic:cNvPicPr>
                  </pic:nvPicPr>
                  <pic:blipFill>
                    <a:blip r:embed="rId4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request completed, with its activity log.</w:t>
      </w:r>
    </w:p>
    <w:bookmarkEnd w:id="45"/>
    <w:bookmarkStart w:id="52" w:name="reporting-a-breach"/>
    <w:p>
      <w:pPr>
        <w:pStyle w:val="Heading2"/>
      </w:pPr>
      <w:r>
        <w:t xml:space="preserve">5. Reporting a breach</w:t>
      </w:r>
    </w:p>
    <w:p>
      <w:pPr>
        <w:pStyle w:val="FirstParagraph"/>
      </w:pPr>
      <w:r>
        <w:t xml:space="preserve">A researcher register was emailed to the wrong person. Click</w:t>
      </w:r>
      <w:r>
        <w:t xml:space="preserve"> </w:t>
      </w:r>
      <w:r>
        <w:rPr>
          <w:bCs/>
          <w:b/>
        </w:rPr>
        <w:t xml:space="preserve">Report Breach</w:t>
      </w:r>
      <w:r>
        <w:t xml:space="preserve"> </w:t>
      </w:r>
      <w:r>
        <w:t xml:space="preserve">and record the jurisdiction, the breach type (a confidentiality breach), the severity, the records affected, when it was detected, the cause and what happened.</w:t>
      </w:r>
      <w:r>
        <w:t xml:space="preserve"> </w:t>
      </w:r>
      <w:r>
        <w:rPr>
          <w:bCs/>
          <w:b/>
        </w:rPr>
        <w:t xml:space="preserve">Notification Deadlines</w:t>
      </w:r>
      <w:r>
        <w:t xml:space="preserve"> </w:t>
      </w:r>
      <w:r>
        <w:t xml:space="preserve">shows how long you have to report it.</w:t>
      </w:r>
    </w:p>
    <w:p>
      <w:pPr>
        <w:pStyle w:val="CaptionedFigure"/>
      </w:pPr>
      <w:r>
        <w:drawing>
          <wp:inline>
            <wp:extent cx="5778500" cy="3250406"/>
            <wp:effectExtent b="0" l="0" r="0" t="0"/>
            <wp:docPr descr="Reporting a breach." title="" id="47" name="Picture"/>
            <a:graphic>
              <a:graphicData uri="http://schemas.openxmlformats.org/drawingml/2006/picture">
                <pic:pic>
                  <pic:nvPicPr>
                    <pic:cNvPr descr="images/training-compliance-1/08-breach-form.png" id="48" name="Picture"/>
                    <pic:cNvPicPr>
                      <a:picLocks noChangeArrowheads="1" noChangeAspect="1"/>
                    </pic:cNvPicPr>
                  </pic:nvPicPr>
                  <pic:blipFill>
                    <a:blip r:embed="rId4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Reporting a breach.</w:t>
      </w:r>
    </w:p>
    <w:p>
      <w:pPr>
        <w:pStyle w:val="BodyText"/>
      </w:pPr>
      <w:r>
        <w:t xml:space="preserve">The breach is recorded with a reference. As it is handled, use</w:t>
      </w:r>
      <w:r>
        <w:t xml:space="preserve"> </w:t>
      </w:r>
      <w:r>
        <w:rPr>
          <w:bCs/>
          <w:b/>
        </w:rPr>
        <w:t xml:space="preserve">Update Breach</w:t>
      </w:r>
      <w:r>
        <w:t xml:space="preserve"> </w:t>
      </w:r>
      <w:r>
        <w:t xml:space="preserve">to record when the regulator and the people affected were notified.</w:t>
      </w:r>
    </w:p>
    <w:p>
      <w:pPr>
        <w:pStyle w:val="CaptionedFigure"/>
      </w:pPr>
      <w:r>
        <w:drawing>
          <wp:inline>
            <wp:extent cx="5778500" cy="3250406"/>
            <wp:effectExtent b="0" l="0" r="0" t="0"/>
            <wp:docPr descr="The breach record." title="" id="50" name="Picture"/>
            <a:graphic>
              <a:graphicData uri="http://schemas.openxmlformats.org/drawingml/2006/picture">
                <pic:pic>
                  <pic:nvPicPr>
                    <pic:cNvPr descr="images/training-compliance-1/09-breach-view.png" id="51" name="Picture"/>
                    <pic:cNvPicPr>
                      <a:picLocks noChangeArrowheads="1" noChangeAspect="1"/>
                    </pic:cNvPicPr>
                  </pic:nvPicPr>
                  <pic:blipFill>
                    <a:blip r:embed="rId4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breach record.</w:t>
      </w:r>
    </w:p>
    <w:bookmarkEnd w:id="52"/>
    <w:bookmarkStart w:id="53" w:name="recap"/>
    <w:p>
      <w:pPr>
        <w:pStyle w:val="Heading2"/>
      </w:pPr>
      <w:r>
        <w:t xml:space="preserve">Recap</w:t>
      </w:r>
    </w:p>
    <w:p>
      <w:pPr>
        <w:numPr>
          <w:ilvl w:val="0"/>
          <w:numId w:val="1001"/>
        </w:numPr>
        <w:pStyle w:val="Compact"/>
      </w:pPr>
      <w:r>
        <w:t xml:space="preserve">Set the privacy settings and the legal clocks.</w:t>
      </w:r>
    </w:p>
    <w:p>
      <w:pPr>
        <w:numPr>
          <w:ilvl w:val="0"/>
          <w:numId w:val="1001"/>
        </w:numPr>
        <w:pStyle w:val="Compact"/>
      </w:pPr>
      <w:r>
        <w:t xml:space="preserve">Keep the processing register.</w:t>
      </w:r>
    </w:p>
    <w:p>
      <w:pPr>
        <w:numPr>
          <w:ilvl w:val="0"/>
          <w:numId w:val="1001"/>
        </w:numPr>
        <w:pStyle w:val="Compact"/>
      </w:pPr>
      <w:r>
        <w:t xml:space="preserve">Log every data subject request and answer it within the deadline.</w:t>
      </w:r>
    </w:p>
    <w:p>
      <w:pPr>
        <w:numPr>
          <w:ilvl w:val="0"/>
          <w:numId w:val="1001"/>
        </w:numPr>
        <w:pStyle w:val="Compact"/>
      </w:pPr>
      <w:r>
        <w:t xml:space="preserve">Record and report breaches.</w:t>
      </w:r>
    </w:p>
    <w:p>
      <w:pPr>
        <w:pStyle w:val="FirstParagraph"/>
      </w:pPr>
      <w:r>
        <w:t xml:space="preserve">Part 2 covers personal information inside records: scanning, review and redaction.</w:t>
      </w:r>
    </w:p>
    <w:bookmarkEnd w:id="53"/>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Compliance, Part 1 - Running a POPIA Programme</dc:title>
  <dc:creator>Dr Johan Pieterse</dc:creator>
  <cp:keywords/>
  <dcterms:created xsi:type="dcterms:W3CDTF">2026-10-12T05:35:29Z</dcterms:created>
  <dcterms:modified xsi:type="dcterms:W3CDTF">2026-10-12T05:35:29Z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the privacy settings, the processing register, data subject requests and breach reporting</vt:lpwstr>
  </property>
</Properties>
</file>