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5.png" ContentType="image/png"/>
  <Override PartName="/word/media/rId28.png" ContentType="image/png"/>
  <Override PartName="/word/media/rId32.png" ContentType="image/png"/>
  <Override PartName="/word/media/rId35.png" ContentType="image/png"/>
  <Override PartName="/word/media/rId38.png" ContentType="image/png"/>
  <Override PartName="/word/media/rId42.png" ContentType="image/png"/>
  <Override PartName="/word/media/rId45.png" ContentType="image/png"/>
  <Override PartName="/word/media/rId48.png" ContentType="image/png"/>
  <Override PartName="/word/media/rId52.png" ContentType="image/png"/>
  <Override PartName="/word/media/rId55.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Compliance,</w:t>
      </w:r>
      <w:r>
        <w:t xml:space="preserve"> </w:t>
      </w:r>
      <w:r>
        <w:t xml:space="preserve">Part</w:t>
      </w:r>
      <w:r>
        <w:t xml:space="preserve"> </w:t>
      </w:r>
      <w:r>
        <w:t xml:space="preserve">3</w:t>
      </w:r>
      <w:r>
        <w:t xml:space="preserve"> </w:t>
      </w:r>
      <w:r>
        <w:t xml:space="preserve">-</w:t>
      </w:r>
      <w:r>
        <w:t xml:space="preserve"> </w:t>
      </w:r>
      <w:r>
        <w:t xml:space="preserve">Security</w:t>
      </w:r>
      <w:r>
        <w:t xml:space="preserve"> </w:t>
      </w:r>
      <w:r>
        <w:t xml:space="preserve">Classification</w:t>
      </w:r>
      <w:r>
        <w:t xml:space="preserve"> </w:t>
      </w:r>
      <w:r>
        <w:t xml:space="preserve">and</w:t>
      </w:r>
      <w:r>
        <w:t xml:space="preserve"> </w:t>
      </w:r>
      <w:r>
        <w:t xml:space="preserve">Access</w:t>
      </w:r>
      <w:r>
        <w:t xml:space="preserve"> </w:t>
      </w:r>
      <w:r>
        <w:t xml:space="preserve">Requests</w:t>
      </w:r>
    </w:p>
    <w:p>
      <w:pPr>
        <w:pStyle w:val="Subtitle"/>
      </w:pPr>
      <w:r>
        <w:t xml:space="preserve">Step-by-step</w:t>
      </w:r>
      <w:r>
        <w:t xml:space="preserve"> </w:t>
      </w:r>
      <w:r>
        <w:t xml:space="preserve">guide</w:t>
      </w:r>
      <w:r>
        <w:t xml:space="preserve"> </w:t>
      </w:r>
      <w:r>
        <w:t xml:space="preserve">to</w:t>
      </w:r>
      <w:r>
        <w:t xml:space="preserve"> </w:t>
      </w:r>
      <w:r>
        <w:t xml:space="preserve">clearance</w:t>
      </w:r>
      <w:r>
        <w:t xml:space="preserve"> </w:t>
      </w:r>
      <w:r>
        <w:t xml:space="preserve">levels,</w:t>
      </w:r>
      <w:r>
        <w:t xml:space="preserve"> </w:t>
      </w:r>
      <w:r>
        <w:t xml:space="preserve">classifying</w:t>
      </w:r>
      <w:r>
        <w:t xml:space="preserve"> </w:t>
      </w:r>
      <w:r>
        <w:t xml:space="preserve">a</w:t>
      </w:r>
      <w:r>
        <w:t xml:space="preserve"> </w:t>
      </w:r>
      <w:r>
        <w:t xml:space="preserve">record,</w:t>
      </w:r>
      <w:r>
        <w:t xml:space="preserve"> </w:t>
      </w:r>
      <w:r>
        <w:t xml:space="preserve">and</w:t>
      </w:r>
      <w:r>
        <w:t xml:space="preserve"> </w:t>
      </w:r>
      <w:r>
        <w:t xml:space="preserve">taking</w:t>
      </w:r>
      <w:r>
        <w:t xml:space="preserve"> </w:t>
      </w:r>
      <w:r>
        <w:t xml:space="preserve">a</w:t>
      </w:r>
      <w:r>
        <w:t xml:space="preserve"> </w:t>
      </w:r>
      <w:r>
        <w:t xml:space="preserve">researcher’s</w:t>
      </w:r>
      <w:r>
        <w:t xml:space="preserve"> </w:t>
      </w:r>
      <w:r>
        <w:t xml:space="preserve">access</w:t>
      </w:r>
      <w:r>
        <w:t xml:space="preserve"> </w:t>
      </w:r>
      <w:r>
        <w:t xml:space="preserve">request</w:t>
      </w:r>
      <w:r>
        <w:t xml:space="preserve"> </w:t>
      </w:r>
      <w:r>
        <w:t xml:space="preserve">from</w:t>
      </w:r>
      <w:r>
        <w:t xml:space="preserve"> </w:t>
      </w:r>
      <w:r>
        <w:t xml:space="preserve">submission</w:t>
      </w:r>
      <w:r>
        <w:t xml:space="preserve"> </w:t>
      </w:r>
      <w:r>
        <w:t xml:space="preserve">to</w:t>
      </w:r>
      <w:r>
        <w:t xml:space="preserve"> </w:t>
      </w:r>
      <w:r>
        <w:t xml:space="preserve">approval</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Compliance, Part 3 - Security Classification and Access Requests</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12 October 2026</w:t>
            </w:r>
          </w:p>
        </w:tc>
      </w:tr>
      <w:tr>
        <w:tc>
          <w:tcPr/>
          <w:p>
            <w:pPr>
              <w:pStyle w:val="Compact"/>
              <w:jc w:val="left"/>
            </w:pPr>
            <w:r>
              <w:t xml:space="preserve">Prepared for</w:t>
            </w:r>
          </w:p>
        </w:tc>
        <w:tc>
          <w:tcPr/>
          <w:p>
            <w:pPr>
              <w:pStyle w:val="Compact"/>
              <w:jc w:val="left"/>
            </w:pPr>
            <w:r>
              <w:t xml:space="preserve">Archivists, information officers and administrators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AHG-TRN-CMP-03</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3 of the compliance training videos. You classify a record as Confidential, see what a researcher without clearance gets, and take her request for access from submission to approval. Allow about 15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administrator account</w:t>
            </w:r>
          </w:p>
        </w:tc>
        <w:tc>
          <w:tcPr/>
          <w:p>
            <w:pPr>
              <w:pStyle w:val="Compact"/>
              <w:jc w:val="left"/>
            </w:pPr>
            <w:r>
              <w:t xml:space="preserve">Classifying records and approving requests are administrator tasks.</w:t>
            </w:r>
          </w:p>
        </w:tc>
      </w:tr>
      <w:tr>
        <w:tc>
          <w:tcPr/>
          <w:p>
            <w:pPr>
              <w:pStyle w:val="Compact"/>
              <w:jc w:val="left"/>
            </w:pPr>
            <w:r>
              <w:t xml:space="preserve">A researcher account</w:t>
            </w:r>
          </w:p>
        </w:tc>
        <w:tc>
          <w:tcPr/>
          <w:p>
            <w:pPr>
              <w:pStyle w:val="Compact"/>
              <w:jc w:val="left"/>
            </w:pPr>
            <w:r>
              <w:t xml:space="preserve">The guide uses Anna, a researcher with no clearance.</w:t>
            </w:r>
          </w:p>
        </w:tc>
      </w:tr>
      <w:tr>
        <w:tc>
          <w:tcPr/>
          <w:p>
            <w:pPr>
              <w:pStyle w:val="Compact"/>
              <w:jc w:val="left"/>
            </w:pPr>
            <w:r>
              <w:t xml:space="preserve">A practice record</w:t>
            </w:r>
          </w:p>
        </w:tc>
        <w:tc>
          <w:tcPr/>
          <w:p>
            <w:pPr>
              <w:pStyle w:val="Compact"/>
              <w:jc w:val="left"/>
            </w:pPr>
            <w:r>
              <w:t xml:space="preserve">The video uses</w:t>
            </w:r>
            <w:r>
              <w:t xml:space="preserve"> </w:t>
            </w:r>
            <w:r>
              <w:t xml:space="preserve">“</w:t>
            </w:r>
            <w:r>
              <w:t xml:space="preserve">Staff disciplinary file, K. Mokoena, 1987</w:t>
            </w:r>
            <w:r>
              <w:t xml:space="preserve">”</w:t>
            </w:r>
            <w:r>
              <w:t xml:space="preserve">. Every name and detail in it is fictitious.</w:t>
            </w:r>
          </w:p>
        </w:tc>
      </w:tr>
    </w:tbl>
    <w:bookmarkEnd w:id="20"/>
    <w:bookmarkStart w:id="24" w:name="clearance-levels"/>
    <w:p>
      <w:pPr>
        <w:pStyle w:val="Heading2"/>
      </w:pPr>
      <w:r>
        <w:t xml:space="preserve">1. Clearance levels</w:t>
      </w:r>
    </w:p>
    <w:p>
      <w:pPr>
        <w:pStyle w:val="FirstParagraph"/>
      </w:pPr>
      <w:r>
        <w:t xml:space="preserve">Every user has a clearance level. A record classified above a user’s level is closed to them.</w:t>
      </w:r>
    </w:p>
    <w:p>
      <w:pPr>
        <w:pStyle w:val="TableCaption"/>
      </w:pPr>
      <w:r>
        <w:t xml:space="preserve">Classification levels</w:t>
      </w:r>
    </w:p>
    <w:tbl>
      <w:tblPr>
        <w:tblStyle w:val="Table"/>
        <w:tblW w:type="auto" w:w="0"/>
        <w:tblLook w:firstRow="1" w:lastRow="0" w:firstColumn="0" w:lastColumn="0" w:noHBand="0" w:noVBand="0" w:val="0020"/>
        <w:jc w:val="start"/>
        <w:tblCaption w:val="Classification levels"/>
      </w:tblPr>
      <w:tblGrid>
        <w:gridCol w:w="3960"/>
        <w:gridCol w:w="3960"/>
      </w:tblGrid>
      <w:tr>
        <w:trPr>
          <w:tblHeader w:val="true"/>
        </w:trPr>
        <w:tc>
          <w:tcPr/>
          <w:p>
            <w:pPr>
              <w:pStyle w:val="Compact"/>
              <w:jc w:val="left"/>
            </w:pPr>
            <w:r>
              <w:t xml:space="preserve">Level</w:t>
            </w:r>
          </w:p>
        </w:tc>
        <w:tc>
          <w:tcPr/>
          <w:p>
            <w:pPr>
              <w:pStyle w:val="Compact"/>
              <w:jc w:val="left"/>
            </w:pPr>
            <w:r>
              <w:t xml:space="preserve">Classification</w:t>
            </w:r>
          </w:p>
        </w:tc>
      </w:tr>
      <w:tr>
        <w:tc>
          <w:tcPr/>
          <w:p>
            <w:pPr>
              <w:pStyle w:val="Compact"/>
              <w:jc w:val="left"/>
            </w:pPr>
            <w:r>
              <w:t xml:space="preserve">0</w:t>
            </w:r>
          </w:p>
        </w:tc>
        <w:tc>
          <w:tcPr/>
          <w:p>
            <w:pPr>
              <w:pStyle w:val="Compact"/>
              <w:jc w:val="left"/>
            </w:pPr>
            <w:r>
              <w:t xml:space="preserve">Public</w:t>
            </w:r>
          </w:p>
        </w:tc>
      </w:tr>
      <w:tr>
        <w:tc>
          <w:tcPr/>
          <w:p>
            <w:pPr>
              <w:pStyle w:val="Compact"/>
              <w:jc w:val="left"/>
            </w:pPr>
            <w:r>
              <w:t xml:space="preserve">1</w:t>
            </w:r>
          </w:p>
        </w:tc>
        <w:tc>
          <w:tcPr/>
          <w:p>
            <w:pPr>
              <w:pStyle w:val="Compact"/>
              <w:jc w:val="left"/>
            </w:pPr>
            <w:r>
              <w:t xml:space="preserve">Internal</w:t>
            </w:r>
          </w:p>
        </w:tc>
      </w:tr>
      <w:tr>
        <w:tc>
          <w:tcPr/>
          <w:p>
            <w:pPr>
              <w:pStyle w:val="Compact"/>
              <w:jc w:val="left"/>
            </w:pPr>
            <w:r>
              <w:t xml:space="preserve">2</w:t>
            </w:r>
          </w:p>
        </w:tc>
        <w:tc>
          <w:tcPr/>
          <w:p>
            <w:pPr>
              <w:pStyle w:val="Compact"/>
              <w:jc w:val="left"/>
            </w:pPr>
            <w:r>
              <w:t xml:space="preserve">Restricted</w:t>
            </w:r>
          </w:p>
        </w:tc>
      </w:tr>
      <w:tr>
        <w:tc>
          <w:tcPr/>
          <w:p>
            <w:pPr>
              <w:pStyle w:val="Compact"/>
              <w:jc w:val="left"/>
            </w:pPr>
            <w:r>
              <w:t xml:space="preserve">3</w:t>
            </w:r>
          </w:p>
        </w:tc>
        <w:tc>
          <w:tcPr/>
          <w:p>
            <w:pPr>
              <w:pStyle w:val="Compact"/>
              <w:jc w:val="left"/>
            </w:pPr>
            <w:r>
              <w:t xml:space="preserve">Confidential</w:t>
            </w:r>
          </w:p>
        </w:tc>
      </w:tr>
      <w:tr>
        <w:tc>
          <w:tcPr/>
          <w:p>
            <w:pPr>
              <w:pStyle w:val="Compact"/>
              <w:jc w:val="left"/>
            </w:pPr>
            <w:r>
              <w:t xml:space="preserve">4</w:t>
            </w:r>
          </w:p>
        </w:tc>
        <w:tc>
          <w:tcPr/>
          <w:p>
            <w:pPr>
              <w:pStyle w:val="Compact"/>
              <w:jc w:val="left"/>
            </w:pPr>
            <w:r>
              <w:t xml:space="preserve">Secret</w:t>
            </w:r>
          </w:p>
        </w:tc>
      </w:tr>
      <w:tr>
        <w:tc>
          <w:tcPr/>
          <w:p>
            <w:pPr>
              <w:pStyle w:val="Compact"/>
              <w:jc w:val="left"/>
            </w:pPr>
            <w:r>
              <w:t xml:space="preserve">5</w:t>
            </w:r>
          </w:p>
        </w:tc>
        <w:tc>
          <w:tcPr/>
          <w:p>
            <w:pPr>
              <w:pStyle w:val="Compact"/>
              <w:jc w:val="left"/>
            </w:pPr>
            <w:r>
              <w:t xml:space="preserve">Top Secret</w:t>
            </w:r>
          </w:p>
        </w:tc>
      </w:tr>
    </w:tbl>
    <w:p>
      <w:pPr>
        <w:pStyle w:val="BodyText"/>
      </w:pPr>
      <w:r>
        <w:t xml:space="preserve">A user’s clearance is set on their clearance page (</w:t>
      </w:r>
      <w:r>
        <w:rPr>
          <w:rStyle w:val="VerbatimChar"/>
        </w:rPr>
        <w:t xml:space="preserve">/security/clearance/user/&lt;username&gt;</w:t>
      </w:r>
      <w:r>
        <w:t xml:space="preserve">): the level, an optional expiry date and notes. Give staff the clearance their work needs. A user with no clearance sees only public material. Researchers usually need one record rather than a standing clearance, and section 3 covers that.</w:t>
      </w:r>
    </w:p>
    <w:p>
      <w:pPr>
        <w:pStyle w:val="CaptionedFigure"/>
      </w:pPr>
      <w:r>
        <w:drawing>
          <wp:inline>
            <wp:extent cx="5778500" cy="3250406"/>
            <wp:effectExtent b="0" l="0" r="0" t="0"/>
            <wp:docPr descr="A user without clearance." title="" id="22" name="Picture"/>
            <a:graphic>
              <a:graphicData uri="http://schemas.openxmlformats.org/drawingml/2006/picture">
                <pic:pic>
                  <pic:nvPicPr>
                    <pic:cNvPr descr="images/training-compliance-3/01-clearance.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 user without clearance.</w:t>
      </w:r>
    </w:p>
    <w:bookmarkEnd w:id="24"/>
    <w:bookmarkStart w:id="31" w:name="classify-a-record"/>
    <w:p>
      <w:pPr>
        <w:pStyle w:val="Heading2"/>
      </w:pPr>
      <w:r>
        <w:t xml:space="preserve">2. Classify a record</w:t>
      </w:r>
    </w:p>
    <w:p>
      <w:pPr>
        <w:pStyle w:val="FirstParagraph"/>
      </w:pPr>
      <w:r>
        <w:t xml:space="preserve">Edit the record and open</w:t>
      </w:r>
      <w:r>
        <w:t xml:space="preserve"> </w:t>
      </w:r>
      <w:r>
        <w:rPr>
          <w:bCs/>
          <w:b/>
        </w:rPr>
        <w:t xml:space="preserve">Security Classification</w:t>
      </w:r>
      <w:r>
        <w:t xml:space="preserve">. Choose the level (here</w:t>
      </w:r>
      <w:r>
        <w:t xml:space="preserve"> </w:t>
      </w:r>
      <w:r>
        <w:rPr>
          <w:bCs/>
          <w:b/>
        </w:rPr>
        <w:t xml:space="preserve">Confidential</w:t>
      </w:r>
      <w:r>
        <w:t xml:space="preserve">), give the reason, and set a review date.</w:t>
      </w:r>
      <w:r>
        <w:t xml:space="preserve"> </w:t>
      </w:r>
      <w:r>
        <w:rPr>
          <w:bCs/>
          <w:b/>
        </w:rPr>
        <w:t xml:space="preserve">Apply to child records</w:t>
      </w:r>
      <w:r>
        <w:t xml:space="preserve"> </w:t>
      </w:r>
      <w:r>
        <w:t xml:space="preserve">passes the classification down the hierarchy. Save.</w:t>
      </w:r>
    </w:p>
    <w:p>
      <w:pPr>
        <w:pStyle w:val="CaptionedFigure"/>
      </w:pPr>
      <w:r>
        <w:drawing>
          <wp:inline>
            <wp:extent cx="5778500" cy="3250406"/>
            <wp:effectExtent b="0" l="0" r="0" t="0"/>
            <wp:docPr descr="Classifying the record." title="" id="26" name="Picture"/>
            <a:graphic>
              <a:graphicData uri="http://schemas.openxmlformats.org/drawingml/2006/picture">
                <pic:pic>
                  <pic:nvPicPr>
                    <pic:cNvPr descr="images/training-compliance-3/02-classify.png" id="27" name="Picture"/>
                    <pic:cNvPicPr>
                      <a:picLocks noChangeArrowheads="1" noChangeAspect="1"/>
                    </pic:cNvPicPr>
                  </pic:nvPicPr>
                  <pic:blipFill>
                    <a:blip r:embed="rId2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Classifying the record.</w:t>
      </w:r>
    </w:p>
    <w:p>
      <w:pPr>
        <w:pStyle w:val="BodyText"/>
      </w:pPr>
      <w:r>
        <w:t xml:space="preserve">The record now shows its classification. Staff with enough clearance see it as before.</w:t>
      </w:r>
    </w:p>
    <w:p>
      <w:pPr>
        <w:pStyle w:val="CaptionedFigure"/>
      </w:pPr>
      <w:r>
        <w:drawing>
          <wp:inline>
            <wp:extent cx="5778500" cy="3250406"/>
            <wp:effectExtent b="0" l="0" r="0" t="0"/>
            <wp:docPr descr="The classified record." title="" id="29" name="Picture"/>
            <a:graphic>
              <a:graphicData uri="http://schemas.openxmlformats.org/drawingml/2006/picture">
                <pic:pic>
                  <pic:nvPicPr>
                    <pic:cNvPr descr="images/training-compliance-3/03-classified.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classified record.</w:t>
      </w:r>
    </w:p>
    <w:p>
      <w:pPr>
        <w:pStyle w:val="BodyText"/>
      </w:pPr>
      <w:r>
        <w:t xml:space="preserve">To remove a classification, choose</w:t>
      </w:r>
      <w:r>
        <w:t xml:space="preserve"> </w:t>
      </w:r>
      <w:r>
        <w:rPr>
          <w:bCs/>
          <w:b/>
        </w:rPr>
        <w:t xml:space="preserve">Public (No Classification)</w:t>
      </w:r>
      <w:r>
        <w:t xml:space="preserve"> </w:t>
      </w:r>
      <w:r>
        <w:t xml:space="preserve">and save. A child record cannot be classified lower than its parent; if the classification cannot be saved, the edit page says so.</w:t>
      </w:r>
    </w:p>
    <w:bookmarkEnd w:id="31"/>
    <w:bookmarkStart w:id="41" w:name="the-researchers-view"/>
    <w:p>
      <w:pPr>
        <w:pStyle w:val="Heading2"/>
      </w:pPr>
      <w:r>
        <w:t xml:space="preserve">3. The researcher’s view</w:t>
      </w:r>
    </w:p>
    <w:p>
      <w:pPr>
        <w:pStyle w:val="FirstParagraph"/>
      </w:pPr>
      <w:r>
        <w:t xml:space="preserve">Signed in as Anna, the record is closed. The page says the material is classified Confidential and that her clearance does not permit access. It does not show the title, which can itself be sensitive.</w:t>
      </w:r>
    </w:p>
    <w:p>
      <w:pPr>
        <w:pStyle w:val="CaptionedFigure"/>
      </w:pPr>
      <w:r>
        <w:drawing>
          <wp:inline>
            <wp:extent cx="5778500" cy="3250406"/>
            <wp:effectExtent b="0" l="0" r="0" t="0"/>
            <wp:docPr descr="Access denied." title="" id="33" name="Picture"/>
            <a:graphic>
              <a:graphicData uri="http://schemas.openxmlformats.org/drawingml/2006/picture">
                <pic:pic>
                  <pic:nvPicPr>
                    <pic:cNvPr descr="images/training-compliance-3/04-denied.png" id="34" name="Picture"/>
                    <pic:cNvPicPr>
                      <a:picLocks noChangeArrowheads="1" noChangeAspect="1"/>
                    </pic:cNvPicPr>
                  </pic:nvPicPr>
                  <pic:blipFill>
                    <a:blip r:embed="rId3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Access denied.</w:t>
      </w:r>
    </w:p>
    <w:p>
      <w:pPr>
        <w:pStyle w:val="BodyText"/>
      </w:pPr>
      <w:r>
        <w:rPr>
          <w:bCs/>
          <w:b/>
        </w:rPr>
        <w:t xml:space="preserve">Request Access</w:t>
      </w:r>
      <w:r>
        <w:t xml:space="preserve"> </w:t>
      </w:r>
      <w:r>
        <w:t xml:space="preserve">opens a request for this one record. Choose the access level (view only here), the urgency, and give a reason, which is required. Additional justification is optional. Click</w:t>
      </w:r>
      <w:r>
        <w:t xml:space="preserve"> </w:t>
      </w:r>
      <w:r>
        <w:rPr>
          <w:bCs/>
          <w:b/>
        </w:rPr>
        <w:t xml:space="preserve">Submit Request</w:t>
      </w:r>
      <w:r>
        <w:t xml:space="preserve">.</w:t>
      </w:r>
    </w:p>
    <w:p>
      <w:pPr>
        <w:pStyle w:val="CaptionedFigure"/>
      </w:pPr>
      <w:r>
        <w:drawing>
          <wp:inline>
            <wp:extent cx="5778500" cy="3250406"/>
            <wp:effectExtent b="0" l="0" r="0" t="0"/>
            <wp:docPr descr="The access request." title="" id="36" name="Picture"/>
            <a:graphic>
              <a:graphicData uri="http://schemas.openxmlformats.org/drawingml/2006/picture">
                <pic:pic>
                  <pic:nvPicPr>
                    <pic:cNvPr descr="images/training-compliance-3/05-request.png" id="37" name="Picture"/>
                    <pic:cNvPicPr>
                      <a:picLocks noChangeArrowheads="1" noChangeAspect="1"/>
                    </pic:cNvPicPr>
                  </pic:nvPicPr>
                  <pic:blipFill>
                    <a:blip r:embed="rId3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access request.</w:t>
      </w:r>
    </w:p>
    <w:p>
      <w:pPr>
        <w:pStyle w:val="BodyText"/>
      </w:pPr>
      <w:r>
        <w:t xml:space="preserve">The request appears in</w:t>
      </w:r>
      <w:r>
        <w:t xml:space="preserve"> </w:t>
      </w:r>
      <w:r>
        <w:rPr>
          <w:bCs/>
          <w:b/>
        </w:rPr>
        <w:t xml:space="preserve">My Access Requests</w:t>
      </w:r>
      <w:r>
        <w:t xml:space="preserve"> </w:t>
      </w:r>
      <w:r>
        <w:t xml:space="preserve">(</w:t>
      </w:r>
      <w:r>
        <w:rPr>
          <w:rStyle w:val="VerbatimChar"/>
        </w:rPr>
        <w:t xml:space="preserve">/security/my-requests</w:t>
      </w:r>
      <w:r>
        <w:t xml:space="preserve">) as</w:t>
      </w:r>
      <w:r>
        <w:t xml:space="preserve"> </w:t>
      </w:r>
      <w:r>
        <w:rPr>
          <w:bCs/>
          <w:b/>
        </w:rPr>
        <w:t xml:space="preserve">Pending</w:t>
      </w:r>
      <w:r>
        <w:t xml:space="preserve">. A pending request can be cancelled from there.</w:t>
      </w:r>
    </w:p>
    <w:p>
      <w:pPr>
        <w:pStyle w:val="CaptionedFigure"/>
      </w:pPr>
      <w:r>
        <w:drawing>
          <wp:inline>
            <wp:extent cx="5778500" cy="3250406"/>
            <wp:effectExtent b="0" l="0" r="0" t="0"/>
            <wp:docPr descr="The pending request." title="" id="39" name="Picture"/>
            <a:graphic>
              <a:graphicData uri="http://schemas.openxmlformats.org/drawingml/2006/picture">
                <pic:pic>
                  <pic:nvPicPr>
                    <pic:cNvPr descr="images/training-compliance-3/06-pending.png" id="40" name="Picture"/>
                    <pic:cNvPicPr>
                      <a:picLocks noChangeArrowheads="1" noChangeAspect="1"/>
                    </pic:cNvPicPr>
                  </pic:nvPicPr>
                  <pic:blipFill>
                    <a:blip r:embed="rId3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pending request.</w:t>
      </w:r>
    </w:p>
    <w:bookmarkEnd w:id="41"/>
    <w:bookmarkStart w:id="51" w:name="review-and-approve"/>
    <w:p>
      <w:pPr>
        <w:pStyle w:val="Heading2"/>
      </w:pPr>
      <w:r>
        <w:t xml:space="preserve">4. Review and approve</w:t>
      </w:r>
    </w:p>
    <w:p>
      <w:pPr>
        <w:pStyle w:val="FirstParagraph"/>
      </w:pPr>
      <w:r>
        <w:t xml:space="preserve">The</w:t>
      </w:r>
      <w:r>
        <w:t xml:space="preserve"> </w:t>
      </w:r>
      <w:r>
        <w:rPr>
          <w:bCs/>
          <w:b/>
        </w:rPr>
        <w:t xml:space="preserve">Security Dashboard</w:t>
      </w:r>
      <w:r>
        <w:t xml:space="preserve"> </w:t>
      </w:r>
      <w:r>
        <w:t xml:space="preserve">(</w:t>
      </w:r>
      <w:r>
        <w:rPr>
          <w:rStyle w:val="VerbatimChar"/>
        </w:rPr>
        <w:t xml:space="preserve">/security/dashboard</w:t>
      </w:r>
      <w:r>
        <w:t xml:space="preserve">) lists pending access requests. The full queue is at</w:t>
      </w:r>
      <w:r>
        <w:t xml:space="preserve"> </w:t>
      </w:r>
      <w:r>
        <w:rPr>
          <w:bCs/>
          <w:b/>
        </w:rPr>
        <w:t xml:space="preserve">Access Requests</w:t>
      </w:r>
      <w:r>
        <w:t xml:space="preserve"> </w:t>
      </w:r>
      <w:r>
        <w:t xml:space="preserve">(</w:t>
      </w:r>
      <w:r>
        <w:rPr>
          <w:rStyle w:val="VerbatimChar"/>
        </w:rPr>
        <w:t xml:space="preserve">/security/access-requests</w:t>
      </w:r>
      <w:r>
        <w:t xml:space="preserve">).</w:t>
      </w:r>
    </w:p>
    <w:p>
      <w:pPr>
        <w:pStyle w:val="CaptionedFigure"/>
      </w:pPr>
      <w:r>
        <w:drawing>
          <wp:inline>
            <wp:extent cx="5778500" cy="3250406"/>
            <wp:effectExtent b="0" l="0" r="0" t="0"/>
            <wp:docPr descr="The pending request on the dashboard." title="" id="43" name="Picture"/>
            <a:graphic>
              <a:graphicData uri="http://schemas.openxmlformats.org/drawingml/2006/picture">
                <pic:pic>
                  <pic:nvPicPr>
                    <pic:cNvPr descr="images/training-compliance-3/07-dashboard.png" id="44" name="Picture"/>
                    <pic:cNvPicPr>
                      <a:picLocks noChangeArrowheads="1" noChangeAspect="1"/>
                    </pic:cNvPicPr>
                  </pic:nvPicPr>
                  <pic:blipFill>
                    <a:blip r:embed="rId4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pending request on the dashboard.</w:t>
      </w:r>
    </w:p>
    <w:p>
      <w:pPr>
        <w:pStyle w:val="BodyText"/>
      </w:pPr>
      <w:r>
        <w:rPr>
          <w:bCs/>
          <w:b/>
        </w:rPr>
        <w:t xml:space="preserve">Review</w:t>
      </w:r>
      <w:r>
        <w:t xml:space="preserve"> </w:t>
      </w:r>
      <w:r>
        <w:t xml:space="preserve">opens the request: who is asking, for which record, how urgently, and why.</w:t>
      </w:r>
    </w:p>
    <w:p>
      <w:pPr>
        <w:pStyle w:val="CaptionedFigure"/>
      </w:pPr>
      <w:r>
        <w:drawing>
          <wp:inline>
            <wp:extent cx="5778500" cy="3250406"/>
            <wp:effectExtent b="0" l="0" r="0" t="0"/>
            <wp:docPr descr="Reviewing the request." title="" id="46" name="Picture"/>
            <a:graphic>
              <a:graphicData uri="http://schemas.openxmlformats.org/drawingml/2006/picture">
                <pic:pic>
                  <pic:nvPicPr>
                    <pic:cNvPr descr="images/training-compliance-3/08-review.png" id="47" name="Picture"/>
                    <pic:cNvPicPr>
                      <a:picLocks noChangeArrowheads="1" noChangeAspect="1"/>
                    </pic:cNvPicPr>
                  </pic:nvPicPr>
                  <pic:blipFill>
                    <a:blip r:embed="rId4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Reviewing the request.</w:t>
      </w:r>
    </w:p>
    <w:p>
      <w:pPr>
        <w:pStyle w:val="BodyText"/>
      </w:pPr>
      <w:r>
        <w:t xml:space="preserve">To approve, add a note and an end date, then click</w:t>
      </w:r>
      <w:r>
        <w:t xml:space="preserve"> </w:t>
      </w:r>
      <w:r>
        <w:rPr>
          <w:bCs/>
          <w:b/>
        </w:rPr>
        <w:t xml:space="preserve">Approve</w:t>
      </w:r>
      <w:r>
        <w:t xml:space="preserve">. The access lapses by itself on that date. To deny, give a reason and click</w:t>
      </w:r>
      <w:r>
        <w:t xml:space="preserve"> </w:t>
      </w:r>
      <w:r>
        <w:rPr>
          <w:bCs/>
          <w:b/>
        </w:rPr>
        <w:t xml:space="preserve">Deny</w:t>
      </w:r>
      <w:r>
        <w:t xml:space="preserve">.</w:t>
      </w:r>
    </w:p>
    <w:p>
      <w:pPr>
        <w:pStyle w:val="CaptionedFigure"/>
      </w:pPr>
      <w:r>
        <w:drawing>
          <wp:inline>
            <wp:extent cx="5778500" cy="3250406"/>
            <wp:effectExtent b="0" l="0" r="0" t="0"/>
            <wp:docPr descr="The request approved." title="" id="49" name="Picture"/>
            <a:graphic>
              <a:graphicData uri="http://schemas.openxmlformats.org/drawingml/2006/picture">
                <pic:pic>
                  <pic:nvPicPr>
                    <pic:cNvPr descr="images/training-compliance-3/09-approved.png" id="50" name="Picture"/>
                    <pic:cNvPicPr>
                      <a:picLocks noChangeArrowheads="1" noChangeAspect="1"/>
                    </pic:cNvPicPr>
                  </pic:nvPicPr>
                  <pic:blipFill>
                    <a:blip r:embed="rId4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request approved.</w:t>
      </w:r>
    </w:p>
    <w:bookmarkEnd w:id="51"/>
    <w:bookmarkStart w:id="58" w:name="access-granted"/>
    <w:p>
      <w:pPr>
        <w:pStyle w:val="Heading2"/>
      </w:pPr>
      <w:r>
        <w:t xml:space="preserve">5. Access granted</w:t>
      </w:r>
    </w:p>
    <w:p>
      <w:pPr>
        <w:pStyle w:val="FirstParagraph"/>
      </w:pPr>
      <w:r>
        <w:t xml:space="preserve">Anna can now open the record, and only this record: her clearance has not changed.</w:t>
      </w:r>
    </w:p>
    <w:p>
      <w:pPr>
        <w:pStyle w:val="CaptionedFigure"/>
      </w:pPr>
      <w:r>
        <w:drawing>
          <wp:inline>
            <wp:extent cx="5778500" cy="3250406"/>
            <wp:effectExtent b="0" l="0" r="0" t="0"/>
            <wp:docPr descr="The record opens for Anna." title="" id="53" name="Picture"/>
            <a:graphic>
              <a:graphicData uri="http://schemas.openxmlformats.org/drawingml/2006/picture">
                <pic:pic>
                  <pic:nvPicPr>
                    <pic:cNvPr descr="images/training-compliance-3/10-anna-record.png" id="54" name="Picture"/>
                    <pic:cNvPicPr>
                      <a:picLocks noChangeArrowheads="1" noChangeAspect="1"/>
                    </pic:cNvPicPr>
                  </pic:nvPicPr>
                  <pic:blipFill>
                    <a:blip r:embed="rId5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record opens for Anna.</w:t>
      </w:r>
    </w:p>
    <w:p>
      <w:pPr>
        <w:pStyle w:val="BodyText"/>
      </w:pPr>
      <w:r>
        <w:rPr>
          <w:bCs/>
          <w:b/>
        </w:rPr>
        <w:t xml:space="preserve">My Access Grants</w:t>
      </w:r>
      <w:r>
        <w:t xml:space="preserve"> </w:t>
      </w:r>
      <w:r>
        <w:t xml:space="preserve">lists the grant with its scope, access level and expiry date.</w:t>
      </w:r>
    </w:p>
    <w:p>
      <w:pPr>
        <w:pStyle w:val="CaptionedFigure"/>
      </w:pPr>
      <w:r>
        <w:drawing>
          <wp:inline>
            <wp:extent cx="5778500" cy="3250406"/>
            <wp:effectExtent b="0" l="0" r="0" t="0"/>
            <wp:docPr descr="Her access grants." title="" id="56" name="Picture"/>
            <a:graphic>
              <a:graphicData uri="http://schemas.openxmlformats.org/drawingml/2006/picture">
                <pic:pic>
                  <pic:nvPicPr>
                    <pic:cNvPr descr="images/training-compliance-3/11-grants.png" id="57" name="Picture"/>
                    <pic:cNvPicPr>
                      <a:picLocks noChangeArrowheads="1" noChangeAspect="1"/>
                    </pic:cNvPicPr>
                  </pic:nvPicPr>
                  <pic:blipFill>
                    <a:blip r:embed="rId5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Her access grants.</w:t>
      </w:r>
    </w:p>
    <w:p>
      <w:pPr>
        <w:pStyle w:val="BodyText"/>
      </w:pPr>
      <w:r>
        <w:t xml:space="preserve">An approved request lifts only the security classification. A donor closure or an embargo on the same record still applies.</w:t>
      </w:r>
    </w:p>
    <w:bookmarkEnd w:id="58"/>
    <w:bookmarkStart w:id="59" w:name="recap"/>
    <w:p>
      <w:pPr>
        <w:pStyle w:val="Heading2"/>
      </w:pPr>
      <w:r>
        <w:t xml:space="preserve">Recap</w:t>
      </w:r>
    </w:p>
    <w:p>
      <w:pPr>
        <w:numPr>
          <w:ilvl w:val="0"/>
          <w:numId w:val="1001"/>
        </w:numPr>
        <w:pStyle w:val="Compact"/>
      </w:pPr>
      <w:r>
        <w:t xml:space="preserve">Give staff the clearance their work needs.</w:t>
      </w:r>
    </w:p>
    <w:p>
      <w:pPr>
        <w:numPr>
          <w:ilvl w:val="0"/>
          <w:numId w:val="1001"/>
        </w:numPr>
        <w:pStyle w:val="Compact"/>
      </w:pPr>
      <w:r>
        <w:t xml:space="preserve">Classify sensitive records, with a reason and a review date.</w:t>
      </w:r>
    </w:p>
    <w:p>
      <w:pPr>
        <w:numPr>
          <w:ilvl w:val="0"/>
          <w:numId w:val="1001"/>
        </w:numPr>
        <w:pStyle w:val="Compact"/>
      </w:pPr>
      <w:r>
        <w:t xml:space="preserve">Researchers request access to a single record, with a reason.</w:t>
      </w:r>
    </w:p>
    <w:p>
      <w:pPr>
        <w:numPr>
          <w:ilvl w:val="0"/>
          <w:numId w:val="1001"/>
        </w:numPr>
        <w:pStyle w:val="Compact"/>
      </w:pPr>
      <w:r>
        <w:t xml:space="preserve">Approve with an end date, and the grant lapses by itself.</w:t>
      </w:r>
    </w:p>
    <w:p>
      <w:pPr>
        <w:pStyle w:val="FirstParagraph"/>
      </w:pPr>
      <w:r>
        <w:t xml:space="preserve">Part 4 covers rights, embargoes and traditional knowledge labels.</w:t>
      </w:r>
    </w:p>
    <w:bookmarkEnd w:id="59"/>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Compliance, Part 3 - Security Classification and Access Requests</dc:title>
  <dc:creator>Dr Johan Pieterse</dc:creator>
  <cp:keywords/>
  <dcterms:created xsi:type="dcterms:W3CDTF">2026-10-12T07:00:27Z</dcterms:created>
  <dcterms:modified xsi:type="dcterms:W3CDTF">2026-10-12T07:00:27Z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clearance levels, classifying a record, and taking a researcher’s access request from submission to approval</vt:lpwstr>
  </property>
</Properties>
</file>