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iiif-comparison-workspace"/>
    <w:p>
      <w:pPr>
        <w:pStyle w:val="Heading1"/>
      </w:pPr>
      <w:r>
        <w:t xml:space="preserve">IIIF Comparison Workspace</w:t>
      </w:r>
    </w:p>
    <w:p>
      <w:pPr>
        <w:pStyle w:val="FirstParagraph"/>
      </w:pPr>
      <w:r>
        <w:t xml:space="preserve">Side-by-side comparison of digitised material from one collection or many, built on</w:t>
      </w:r>
      <w:r>
        <w:t xml:space="preserve"> </w:t>
      </w:r>
      <w:r>
        <w:t xml:space="preserve">the International Image Interoperability Framework. A researcher selects records as</w:t>
      </w:r>
      <w:r>
        <w:t xml:space="preserve"> </w:t>
      </w:r>
      <w:r>
        <w:t xml:space="preserve">they browse and opens them together in a single workspace, where each image can be</w:t>
      </w:r>
      <w:r>
        <w:t xml:space="preserve"> </w:t>
      </w:r>
      <w:r>
        <w:t xml:space="preserve">zoomed, panned and read independently of the others. Because the workspace speaks</w:t>
      </w:r>
      <w:r>
        <w:t xml:space="preserve"> </w:t>
      </w:r>
      <w:r>
        <w:t xml:space="preserve">IIIF, material held by another institution can be placed alongside your own without</w:t>
      </w:r>
      <w:r>
        <w:t xml:space="preserve"> </w:t>
      </w:r>
      <w:r>
        <w:t xml:space="preserve">either party exchanging files.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Comparison Workspace - Feature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AHG-FO-IIIF-COMPARE-001</w:t>
            </w:r>
          </w:p>
        </w:tc>
      </w:tr>
    </w:tbl>
    <w:p>
      <w:pPr>
        <w:pStyle w:val="BodyText"/>
      </w:pPr>
      <w:r>
        <w:t xml:space="preserve">: Document control</w: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Comparison is a routine act of scholarship. Two states of the same print, a plan and</w:t>
      </w:r>
      <w:r>
        <w:t xml:space="preserve"> </w:t>
      </w:r>
      <w:r>
        <w:t xml:space="preserve">the building as surveyed thirty years later, a disputed signature against a known</w:t>
      </w:r>
      <w:r>
        <w:t xml:space="preserve"> </w:t>
      </w:r>
      <w:r>
        <w:t xml:space="preserve">one: the question is rarely answered by looking at one image, and almost never by</w:t>
      </w:r>
      <w:r>
        <w:t xml:space="preserve"> </w:t>
      </w:r>
      <w:r>
        <w:t xml:space="preserve">looking at two images in two browser tabs.</w:t>
      </w:r>
    </w:p>
    <w:p>
      <w:pPr>
        <w:pStyle w:val="BodyText"/>
      </w:pPr>
      <w:r>
        <w:t xml:space="preserve">The comparison workspace opens any number of digitised records together. Each opens</w:t>
      </w:r>
      <w:r>
        <w:t xml:space="preserve"> </w:t>
      </w:r>
      <w:r>
        <w:t xml:space="preserve">in its own window with its own zoom and its own position, so one image can be</w:t>
      </w:r>
      <w:r>
        <w:t xml:space="preserve"> </w:t>
      </w:r>
      <w:r>
        <w:t xml:space="preserve">examined at full magnification while another stays at plate scale. Windows can be</w:t>
      </w:r>
      <w:r>
        <w:t xml:space="preserve"> </w:t>
      </w:r>
      <w:r>
        <w:t xml:space="preserve">rearranged, resized, maximised and closed as the reading changes.</w:t>
      </w:r>
    </w:p>
    <w:bookmarkEnd w:id="20"/>
    <w:bookmarkStart w:id="21" w:name="how-a-researcher-uses-it"/>
    <w:p>
      <w:pPr>
        <w:pStyle w:val="Heading2"/>
      </w:pPr>
      <w:r>
        <w:t xml:space="preserve">How a researcher uses it</w:t>
      </w:r>
    </w:p>
    <w:p>
      <w:pPr>
        <w:pStyle w:val="FirstParagraph"/>
      </w:pPr>
      <w:r>
        <w:t xml:space="preserve">The selection is made while browsing, not in a separate screen. Every description</w:t>
      </w:r>
      <w:r>
        <w:t xml:space="preserve"> </w:t>
      </w:r>
      <w:r>
        <w:t xml:space="preserve">carries a Compare action; choosing it marks that record. The selection persists as</w:t>
      </w:r>
      <w:r>
        <w:t xml:space="preserve"> </w:t>
      </w:r>
      <w:r>
        <w:t xml:space="preserve">the researcher moves through the catalogue, so records can be gathered from</w:t>
      </w:r>
      <w:r>
        <w:t xml:space="preserve"> </w:t>
      </w:r>
      <w:r>
        <w:t xml:space="preserve">different parts of a fonds, from different collections, or across an entire</w:t>
      </w:r>
      <w:r>
        <w:t xml:space="preserve"> </w:t>
      </w:r>
      <w:r>
        <w:t xml:space="preserve">repository. Once two or more are marked, a launcher opens them together.</w:t>
      </w:r>
    </w:p>
    <w:p>
      <w:pPr>
        <w:pStyle w:val="BodyText"/>
      </w:pPr>
      <w:r>
        <w:t xml:space="preserve">The resulting workspace has its own address. That address contains the records being</w:t>
      </w:r>
      <w:r>
        <w:t xml:space="preserve"> </w:t>
      </w:r>
      <w:r>
        <w:t xml:space="preserve">compared, so it can be sent to a colleague, cited in correspondence, or kept in</w:t>
      </w:r>
      <w:r>
        <w:t xml:space="preserve"> </w:t>
      </w:r>
      <w:r>
        <w:t xml:space="preserve">research notes, and it will reopen the same arrangement of material.</w:t>
      </w:r>
    </w:p>
    <w:p>
      <w:pPr>
        <w:pStyle w:val="BodyText"/>
      </w:pPr>
      <w:r>
        <w:t xml:space="preserve">Within the workspace, further material can be added without returning to the</w:t>
      </w:r>
      <w:r>
        <w:t xml:space="preserve"> </w:t>
      </w:r>
      <w:r>
        <w:t xml:space="preserve">catalogue, including material published by other institutions.</w: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while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Compare action on every description; the selection survives navigation across the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record zooms, pans and navigates on its own, at its own magnification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Shareable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workspace address carries the records being compared and reopens the same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Multi-page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Books, files and bound volumes open at any page and are paged within their own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IIIF manifest from any institution can be added to the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are served as tiles, so full-resolution examination does not require downloading the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in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window carries the record's description, so an image is never separated from what it is</w:t>
            </w:r>
          </w:p>
        </w:tc>
      </w:tr>
    </w:tbl>
    <w:p>
      <w:pPr>
        <w:pStyle w:val="BodyText"/>
      </w:pPr>
      <w:r>
        <w:t xml:space="preserve">: Comparison workspace features</w:t>
      </w:r>
    </w:p>
    <w:bookmarkEnd w:id="22"/>
    <w:bookmarkStart w:id="23" w:name="standards-and-interoperability"/>
    <w:p>
      <w:pPr>
        <w:pStyle w:val="Heading2"/>
      </w:pPr>
      <w:r>
        <w:t xml:space="preserve">Standards and interoperability</w:t>
      </w:r>
    </w:p>
    <w:p>
      <w:pPr>
        <w:pStyle w:val="FirstParagraph"/>
      </w:pPr>
      <w:r>
        <w:t xml:space="preserve">The workspace is an implementation of the International Image Interoperability</w:t>
      </w:r>
      <w:r>
        <w:t xml:space="preserve"> </w:t>
      </w:r>
      <w:r>
        <w:t xml:space="preserve">Framework, the standard adopted by national libraries, museums and university</w:t>
      </w:r>
      <w:r>
        <w:t xml:space="preserve"> </w:t>
      </w:r>
      <w:r>
        <w:t xml:space="preserve">collections internationally.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Presentation API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each record, its images, structure and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Image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tiles for deep zoom and delivers derivatives at requested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Mirador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comparison workspace itself, the reference IIIF viewer in scholarly use</w:t>
            </w:r>
          </w:p>
        </w:tc>
      </w:tr>
    </w:tbl>
    <w:p>
      <w:pPr>
        <w:pStyle w:val="BodyText"/>
      </w:pPr>
      <w:r>
        <w:t xml:space="preserve">: Standards implemented</w:t>
      </w:r>
    </w:p>
    <w:p>
      <w:pPr>
        <w:pStyle w:val="BodyText"/>
      </w:pPr>
      <w:r>
        <w:t xml:space="preserve">Two consequences follow from using the standard rather than a proprietary viewer.</w:t>
      </w:r>
      <w:r>
        <w:t xml:space="preserve"> </w:t>
      </w:r>
      <w:r>
        <w:t xml:space="preserve">Material from any IIIF-compliant institution can be compared against your own, which</w:t>
      </w:r>
      <w:r>
        <w:t xml:space="preserve"> </w:t>
      </w:r>
      <w:r>
        <w:t xml:space="preserve">matters when a collection has been dispersed and its parts are held in different</w:t>
      </w:r>
      <w:r>
        <w:t xml:space="preserve"> </w:t>
      </w:r>
      <w:r>
        <w:t xml:space="preserve">countries. And your own material can be opened in any IIIF viewer elsewhere, so</w:t>
      </w:r>
      <w:r>
        <w:t xml:space="preserve"> </w:t>
      </w:r>
      <w:r>
        <w:t xml:space="preserve">publication does not depend on this software continuing to exist.</w:t>
      </w:r>
    </w:p>
    <w:bookmarkEnd w:id="23"/>
    <w:bookmarkStart w:id="24" w:name="access-control"/>
    <w:p>
      <w:pPr>
        <w:pStyle w:val="Heading2"/>
      </w:pPr>
      <w:r>
        <w:t xml:space="preserve">Access control</w:t>
      </w:r>
    </w:p>
    <w:p>
      <w:pPr>
        <w:pStyle w:val="FirstParagraph"/>
      </w:pPr>
      <w:r>
        <w:t xml:space="preserve">Comparison does not create an exception to access policy. Each record's manifest is</w:t>
      </w:r>
      <w:r>
        <w:t xml:space="preserve"> </w:t>
      </w:r>
      <w:r>
        <w:t xml:space="preserve">produced subject to the same permissions as the record itself, so an image that is</w:t>
      </w:r>
      <w:r>
        <w:t xml:space="preserve"> </w:t>
      </w:r>
      <w:r>
        <w:t xml:space="preserve">restricted to reading-room users, embargoed, or unpublished does not become visible</w:t>
      </w:r>
      <w:r>
        <w:t xml:space="preserve"> </w:t>
      </w:r>
      <w:r>
        <w:t xml:space="preserve">because it was opened in a comparison workspace. Where a user is entitled to a</w:t>
      </w:r>
      <w:r>
        <w:t xml:space="preserve"> </w:t>
      </w:r>
      <w:r>
        <w:t xml:space="preserve">reference image rather than the preservation master, the reference image is what the</w:t>
      </w:r>
      <w:r>
        <w:t xml:space="preserve"> </w:t>
      </w:r>
      <w:r>
        <w:t xml:space="preserve">workspace receives.</w:t>
      </w:r>
    </w:p>
    <w:bookmarkEnd w:id="24"/>
    <w:bookmarkStart w:id="25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2.9 or later, PHP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ahgIiifPlugin, with the AtoM Heratio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IIIF Image API service for tiled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current web browser; no plugin, extension or installed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Digitised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with digital objects; manifests are generated from existing holdings</w:t>
            </w:r>
          </w:p>
        </w:tc>
      </w:tr>
    </w:tbl>
    <w:p>
      <w:pPr>
        <w:pStyle w:val="BodyText"/>
      </w:pPr>
      <w:r>
        <w:t xml:space="preserve">: Technical requirements</w:t>
      </w:r>
    </w:p>
    <w:bookmarkEnd w:id="25"/>
    <w:bookmarkStart w:id="27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The comparison workspace is part of ahgIiifPlugin and is available to institutions</w:t>
      </w:r>
      <w:r>
        <w:t xml:space="preserve"> </w:t>
      </w:r>
      <w:r>
        <w:t xml:space="preserve">running AtoM Heratio. It requires no additional licence and no third-party service.</w:t>
      </w:r>
    </w:p>
    <w:p>
      <w:pPr>
        <w:pStyle w:val="BodyText"/>
      </w:pPr>
      <w:r>
        <w:t xml:space="preserve">The Archive and Heritage Group (Pty) Ltd</w:t>
      </w:r>
      <w:r>
        <w:t xml:space="preserve"> </w:t>
      </w:r>
      <w:r>
        <w:t xml:space="preserve">Dr Johan Pieterse -</w:t>
      </w:r>
      <w:r>
        <w:t xml:space="preserve"> </w:t>
      </w:r>
      <w:hyperlink r:id="rId26">
        <w:r>
          <w:rPr>
            <w:rStyle w:val="Hyperlink"/>
          </w:rPr>
          <w:t xml:space="preserve">johan@theahg.co.za</w:t>
        </w:r>
      </w:hyperlink>
    </w:p>
    <w:bookmarkEnd w:id="27"/>
    <w:bookmarkEnd w:id="28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hyperlink" Id="rId26" Target="mailto:johan@theahg.co.za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mailto:johan@theahg.co.za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2026-08-11T13:34:25Z</dcterms:created>
  <dcterms:modified xsi:type="dcterms:W3CDTF">2026-08-11T13:34:25Z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