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1.png" ContentType="image/png"/>
  <Override PartName="/word/media/rId45.png" ContentType="image/png"/>
  <Override PartName="/word/media/rId49.png" ContentType="image/png"/>
  <Override PartName="/word/media/rId52.png" ContentType="image/png"/>
  <Override PartName="/word/media/rId55.png" ContentType="image/png"/>
  <Override PartName="/word/media/rId59.png" ContentType="image/png"/>
  <Override PartName="/word/media/rId62.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Compliance,</w:t>
      </w:r>
      <w:r>
        <w:t xml:space="preserve"> </w:t>
      </w:r>
      <w:r>
        <w:t xml:space="preserve">Part</w:t>
      </w:r>
      <w:r>
        <w:t xml:space="preserve"> </w:t>
      </w:r>
      <w:r>
        <w:t xml:space="preserve">4</w:t>
      </w:r>
      <w:r>
        <w:t xml:space="preserve"> </w:t>
      </w:r>
      <w:r>
        <w:t xml:space="preserve">-</w:t>
      </w:r>
      <w:r>
        <w:t xml:space="preserve"> </w:t>
      </w:r>
      <w:r>
        <w:t xml:space="preserve">Rights,</w:t>
      </w:r>
      <w:r>
        <w:t xml:space="preserve"> </w:t>
      </w:r>
      <w:r>
        <w:t xml:space="preserve">TK</w:t>
      </w:r>
      <w:r>
        <w:t xml:space="preserve"> </w:t>
      </w:r>
      <w:r>
        <w:t xml:space="preserve">Labels</w:t>
      </w:r>
      <w:r>
        <w:t xml:space="preserve"> </w:t>
      </w:r>
      <w:r>
        <w:t xml:space="preserve">and</w:t>
      </w:r>
      <w:r>
        <w:t xml:space="preserve"> </w:t>
      </w:r>
      <w:r>
        <w:t xml:space="preserve">Embargoes</w:t>
      </w:r>
    </w:p>
    <w:p>
      <w:pPr>
        <w:pStyle w:val="Subtitle"/>
      </w:pPr>
      <w:r>
        <w:t xml:space="preserve">Step-by-step</w:t>
      </w:r>
      <w:r>
        <w:t xml:space="preserve"> </w:t>
      </w:r>
      <w:r>
        <w:t xml:space="preserve">guide</w:t>
      </w:r>
      <w:r>
        <w:t xml:space="preserve"> </w:t>
      </w:r>
      <w:r>
        <w:t xml:space="preserve">to</w:t>
      </w:r>
      <w:r>
        <w:t xml:space="preserve"> </w:t>
      </w:r>
      <w:r>
        <w:t xml:space="preserve">recording</w:t>
      </w:r>
      <w:r>
        <w:t xml:space="preserve"> </w:t>
      </w:r>
      <w:r>
        <w:t xml:space="preserve">rights</w:t>
      </w:r>
      <w:r>
        <w:t xml:space="preserve"> </w:t>
      </w:r>
      <w:r>
        <w:t xml:space="preserve">statements</w:t>
      </w:r>
      <w:r>
        <w:t xml:space="preserve"> </w:t>
      </w:r>
      <w:r>
        <w:t xml:space="preserve">and</w:t>
      </w:r>
      <w:r>
        <w:t xml:space="preserve"> </w:t>
      </w:r>
      <w:r>
        <w:t xml:space="preserve">licences,</w:t>
      </w:r>
      <w:r>
        <w:t xml:space="preserve"> </w:t>
      </w:r>
      <w:r>
        <w:t xml:space="preserve">community</w:t>
      </w:r>
      <w:r>
        <w:t xml:space="preserve"> </w:t>
      </w:r>
      <w:r>
        <w:t xml:space="preserve">TK</w:t>
      </w:r>
      <w:r>
        <w:t xml:space="preserve"> </w:t>
      </w:r>
      <w:r>
        <w:t xml:space="preserve">labels</w:t>
      </w:r>
      <w:r>
        <w:t xml:space="preserve"> </w:t>
      </w:r>
      <w:r>
        <w:t xml:space="preserve">and</w:t>
      </w:r>
      <w:r>
        <w:t xml:space="preserve"> </w:t>
      </w:r>
      <w:r>
        <w:t xml:space="preserve">cultural</w:t>
      </w:r>
      <w:r>
        <w:t xml:space="preserve"> </w:t>
      </w:r>
      <w:r>
        <w:t xml:space="preserve">notices,</w:t>
      </w:r>
      <w:r>
        <w:t xml:space="preserve"> </w:t>
      </w:r>
      <w:r>
        <w:t xml:space="preserve">and</w:t>
      </w:r>
      <w:r>
        <w:t xml:space="preserve"> </w:t>
      </w:r>
      <w:r>
        <w:t xml:space="preserve">placing</w:t>
      </w:r>
      <w:r>
        <w:t xml:space="preserve"> </w:t>
      </w:r>
      <w:r>
        <w:t xml:space="preserve">and</w:t>
      </w:r>
      <w:r>
        <w:t xml:space="preserve"> </w:t>
      </w:r>
      <w:r>
        <w:t xml:space="preserve">lifting</w:t>
      </w:r>
      <w:r>
        <w:t xml:space="preserve"> </w:t>
      </w:r>
      <w:r>
        <w:t xml:space="preserve">an</w:t>
      </w:r>
      <w:r>
        <w:t xml:space="preserve"> </w:t>
      </w:r>
      <w:r>
        <w:t xml:space="preserve">embargo</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Compliance, Part 4 - Rights, TK Labels and Embargoes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12 October 2026</w:t>
            </w:r>
          </w:p>
        </w:tc>
      </w:tr>
      <w:tr>
        <w:tc>
          <w:tcPr/>
          <w:p>
            <w:pPr>
              <w:pStyle w:val="Compact"/>
              <w:jc w:val="left"/>
            </w:pPr>
            <w:r>
              <w:t xml:space="preserve">Prepared for</w:t>
            </w:r>
          </w:p>
        </w:tc>
        <w:tc>
          <w:tcPr/>
          <w:p>
            <w:pPr>
              <w:pStyle w:val="Compact"/>
              <w:jc w:val="left"/>
            </w:pPr>
            <w:r>
              <w:t xml:space="preserve">Archivists and rights officers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AHG-TRN-CMP-04</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4 of the compliance training videos. It covers four tasks on an oral history recording: recording its copyright status and licence, attaching the community’s traditional knowledge (TK) label and cultural notice, embargoing it while the community is consulted, and lifting the embargo.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editor or administrator account</w:t>
            </w:r>
          </w:p>
        </w:tc>
        <w:tc>
          <w:tcPr/>
          <w:p>
            <w:pPr>
              <w:pStyle w:val="Compact"/>
              <w:jc w:val="left"/>
            </w:pPr>
            <w:r>
              <w:t xml:space="preserve">Rights, ICIP and embargoes are staff tasks; visitors cannot open these pages.</w:t>
            </w:r>
          </w:p>
        </w:tc>
      </w:tr>
      <w:tr>
        <w:tc>
          <w:tcPr/>
          <w:p>
            <w:pPr>
              <w:pStyle w:val="Compact"/>
              <w:jc w:val="left"/>
            </w:pPr>
            <w:r>
              <w:t xml:space="preserve">A practice record</w:t>
            </w:r>
          </w:p>
        </w:tc>
        <w:tc>
          <w:tcPr/>
          <w:p>
            <w:pPr>
              <w:pStyle w:val="Compact"/>
              <w:jc w:val="left"/>
            </w:pPr>
            <w:r>
              <w:t xml:space="preserve">The video uses</w:t>
            </w:r>
            <w:r>
              <w:t xml:space="preserve"> </w:t>
            </w:r>
            <w:r>
              <w:t xml:space="preserve">“</w:t>
            </w:r>
            <w:r>
              <w:t xml:space="preserve">Oral history: harvest songs of the Lekgalong community, 1998</w:t>
            </w:r>
            <w:r>
              <w:t xml:space="preserve">”</w:t>
            </w:r>
            <w:r>
              <w:t xml:space="preserve">. The community and everyone in it are fictitious.</w:t>
            </w:r>
          </w:p>
        </w:tc>
      </w:tr>
    </w:tbl>
    <w:bookmarkEnd w:id="20"/>
    <w:bookmarkStart w:id="27" w:name="rights-statement-and-licence"/>
    <w:p>
      <w:pPr>
        <w:pStyle w:val="Heading2"/>
      </w:pPr>
      <w:r>
        <w:t xml:space="preserve">1. Rights statement and licence</w:t>
      </w:r>
    </w:p>
    <w:p>
      <w:pPr>
        <w:pStyle w:val="FirstParagraph"/>
      </w:pPr>
      <w:r>
        <w:t xml:space="preserve">On the record, click</w:t>
      </w:r>
      <w:r>
        <w:t xml:space="preserve"> </w:t>
      </w:r>
      <w:r>
        <w:rPr>
          <w:bCs/>
          <w:b/>
        </w:rPr>
        <w:t xml:space="preserve">Add extended rights</w:t>
      </w:r>
      <w:r>
        <w:t xml:space="preserve"> </w:t>
      </w:r>
      <w:r>
        <w:t xml:space="preserve">(or</w:t>
      </w:r>
      <w:r>
        <w:t xml:space="preserve"> </w:t>
      </w:r>
      <w:r>
        <w:rPr>
          <w:bCs/>
          <w:b/>
        </w:rPr>
        <w:t xml:space="preserve">Edit extended rights</w:t>
      </w:r>
      <w:r>
        <w:t xml:space="preserve"> </w:t>
      </w:r>
      <w:r>
        <w:t xml:space="preserve">once set). Choose the</w:t>
      </w:r>
      <w:r>
        <w:t xml:space="preserve"> </w:t>
      </w:r>
      <w:r>
        <w:rPr>
          <w:bCs/>
          <w:b/>
        </w:rPr>
        <w:t xml:space="preserve">Rights Statement</w:t>
      </w:r>
      <w:r>
        <w:t xml:space="preserve"> </w:t>
      </w:r>
      <w:r>
        <w:t xml:space="preserve">from the RightsStatements.org list and, where the material is openly licensed, the</w:t>
      </w:r>
      <w:r>
        <w:t xml:space="preserve"> </w:t>
      </w:r>
      <w:r>
        <w:rPr>
          <w:bCs/>
          <w:b/>
        </w:rPr>
        <w:t xml:space="preserve">Creative Commons License</w:t>
      </w:r>
      <w:r>
        <w:t xml:space="preserve">. A rights holder can be chosen from the donors. Click</w:t>
      </w:r>
      <w:r>
        <w:t xml:space="preserve"> </w:t>
      </w:r>
      <w:r>
        <w:rPr>
          <w:bCs/>
          <w:b/>
        </w:rPr>
        <w:t xml:space="preserve">Save Rights</w:t>
      </w:r>
      <w:r>
        <w:t xml:space="preserve">.</w:t>
      </w:r>
    </w:p>
    <w:p>
      <w:pPr>
        <w:pStyle w:val="CaptionedFigure"/>
      </w:pPr>
      <w:r>
        <w:drawing>
          <wp:inline>
            <wp:extent cx="5778500" cy="3250406"/>
            <wp:effectExtent b="0" l="0" r="0" t="0"/>
            <wp:docPr descr="The rights form." title="" id="22" name="Picture"/>
            <a:graphic>
              <a:graphicData uri="http://schemas.openxmlformats.org/drawingml/2006/picture">
                <pic:pic>
                  <pic:nvPicPr>
                    <pic:cNvPr descr="images/training-compliance-4/01-rights.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rights form.</w:t>
      </w:r>
    </w:p>
    <w:p>
      <w:pPr>
        <w:pStyle w:val="BodyText"/>
      </w:pPr>
      <w:r>
        <w:t xml:space="preserve">The record shows the statement and licence, each linked to its published definition.</w:t>
      </w:r>
    </w:p>
    <w:p>
      <w:pPr>
        <w:pStyle w:val="CaptionedFigure"/>
      </w:pPr>
      <w:r>
        <w:drawing>
          <wp:inline>
            <wp:extent cx="5778500" cy="3250406"/>
            <wp:effectExtent b="0" l="0" r="0" t="0"/>
            <wp:docPr descr="Rights on the record." title="" id="25" name="Picture"/>
            <a:graphic>
              <a:graphicData uri="http://schemas.openxmlformats.org/drawingml/2006/picture">
                <pic:pic>
                  <pic:nvPicPr>
                    <pic:cNvPr descr="images/training-compliance-4/02-rights-saved.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Rights on the record.</w:t>
      </w:r>
    </w:p>
    <w:bookmarkEnd w:id="27"/>
    <w:bookmarkStart w:id="34" w:name="the-community"/>
    <w:p>
      <w:pPr>
        <w:pStyle w:val="Heading2"/>
      </w:pPr>
      <w:r>
        <w:t xml:space="preserve">2. The community</w:t>
      </w:r>
    </w:p>
    <w:p>
      <w:pPr>
        <w:pStyle w:val="FirstParagraph"/>
      </w:pPr>
      <w:r>
        <w:t xml:space="preserve">TK labels and cultural notices belong to a community, so record the community first:</w:t>
      </w:r>
      <w:r>
        <w:t xml:space="preserve"> </w:t>
      </w:r>
      <w:r>
        <w:rPr>
          <w:bCs/>
          <w:b/>
        </w:rPr>
        <w:t xml:space="preserve">Indigenous cultural &amp; IP &gt; Communities &gt; Add Community</w:t>
      </w:r>
      <w:r>
        <w:t xml:space="preserve"> </w:t>
      </w:r>
      <w:r>
        <w:t xml:space="preserve">(</w:t>
      </w:r>
      <w:r>
        <w:rPr>
          <w:rStyle w:val="VerbatimChar"/>
        </w:rPr>
        <w:t xml:space="preserve">/icip/community/add</w:t>
      </w:r>
      <w:r>
        <w:t xml:space="preserve">). Give its name and where it is. The State/Territory list is Australian; for a community elsewhere choose</w:t>
      </w:r>
      <w:r>
        <w:t xml:space="preserve"> </w:t>
      </w:r>
      <w:r>
        <w:rPr>
          <w:bCs/>
          <w:b/>
        </w:rPr>
        <w:t xml:space="preserve">Other / outside Australia</w:t>
      </w:r>
      <w:r>
        <w:t xml:space="preserve"> </w:t>
      </w:r>
      <w:r>
        <w:t xml:space="preserve">and use</w:t>
      </w:r>
      <w:r>
        <w:t xml:space="preserve"> </w:t>
      </w:r>
      <w:r>
        <w:rPr>
          <w:bCs/>
          <w:b/>
        </w:rPr>
        <w:t xml:space="preserve">Region</w:t>
      </w:r>
      <w:r>
        <w:t xml:space="preserve">. Click</w:t>
      </w:r>
      <w:r>
        <w:t xml:space="preserve"> </w:t>
      </w:r>
      <w:r>
        <w:rPr>
          <w:bCs/>
          <w:b/>
        </w:rPr>
        <w:t xml:space="preserve">Create Community</w:t>
      </w:r>
      <w:r>
        <w:t xml:space="preserve">.</w:t>
      </w:r>
    </w:p>
    <w:p>
      <w:pPr>
        <w:pStyle w:val="CaptionedFigure"/>
      </w:pPr>
      <w:r>
        <w:drawing>
          <wp:inline>
            <wp:extent cx="5778500" cy="3250406"/>
            <wp:effectExtent b="0" l="0" r="0" t="0"/>
            <wp:docPr descr="Adding the community." title="" id="29" name="Picture"/>
            <a:graphic>
              <a:graphicData uri="http://schemas.openxmlformats.org/drawingml/2006/picture">
                <pic:pic>
                  <pic:nvPicPr>
                    <pic:cNvPr descr="images/training-compliance-4/03-community.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Adding the community.</w:t>
      </w:r>
    </w:p>
    <w:p>
      <w:pPr>
        <w:pStyle w:val="CaptionedFigure"/>
      </w:pPr>
      <w:r>
        <w:drawing>
          <wp:inline>
            <wp:extent cx="5778500" cy="3250406"/>
            <wp:effectExtent b="0" l="0" r="0" t="0"/>
            <wp:docPr descr="The community registry." title="" id="32" name="Picture"/>
            <a:graphic>
              <a:graphicData uri="http://schemas.openxmlformats.org/drawingml/2006/picture">
                <pic:pic>
                  <pic:nvPicPr>
                    <pic:cNvPr descr="images/training-compliance-4/04-communities.png" id="33" name="Picture"/>
                    <pic:cNvPicPr>
                      <a:picLocks noChangeArrowheads="1" noChangeAspect="1"/>
                    </pic:cNvPicPr>
                  </pic:nvPicPr>
                  <pic:blipFill>
                    <a:blip r:embed="rId3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community registry.</w:t>
      </w:r>
    </w:p>
    <w:bookmarkEnd w:id="34"/>
    <w:bookmarkStart w:id="44" w:name="tk-label-and-cultural-notice"/>
    <w:p>
      <w:pPr>
        <w:pStyle w:val="Heading2"/>
      </w:pPr>
      <w:r>
        <w:t xml:space="preserve">3. TK label and cultural notice</w:t>
      </w:r>
    </w:p>
    <w:p>
      <w:pPr>
        <w:pStyle w:val="FirstParagraph"/>
      </w:pPr>
      <w:r>
        <w:t xml:space="preserve">From the record, open</w:t>
      </w:r>
      <w:r>
        <w:t xml:space="preserve"> </w:t>
      </w:r>
      <w:r>
        <w:rPr>
          <w:bCs/>
          <w:b/>
        </w:rPr>
        <w:t xml:space="preserve">Manage cultural notices &amp; labels</w:t>
      </w:r>
      <w:r>
        <w:t xml:space="preserve">. Under</w:t>
      </w:r>
      <w:r>
        <w:t xml:space="preserve"> </w:t>
      </w:r>
      <w:r>
        <w:rPr>
          <w:bCs/>
          <w:b/>
        </w:rPr>
        <w:t xml:space="preserve">TK Labels</w:t>
      </w:r>
      <w:r>
        <w:t xml:space="preserve">, choose the label (here</w:t>
      </w:r>
      <w:r>
        <w:t xml:space="preserve"> </w:t>
      </w:r>
      <w:r>
        <w:rPr>
          <w:bCs/>
          <w:b/>
        </w:rPr>
        <w:t xml:space="preserve">TK Community Voice</w:t>
      </w:r>
      <w:r>
        <w:t xml:space="preserve">), the community, and who applied it: the community itself or the institution. Click</w:t>
      </w:r>
      <w:r>
        <w:t xml:space="preserve"> </w:t>
      </w:r>
      <w:r>
        <w:rPr>
          <w:bCs/>
          <w:b/>
        </w:rPr>
        <w:t xml:space="preserve">Add Label</w:t>
      </w:r>
      <w:r>
        <w:t xml:space="preserve">.</w:t>
      </w:r>
    </w:p>
    <w:p>
      <w:pPr>
        <w:pStyle w:val="CaptionedFigure"/>
      </w:pPr>
      <w:r>
        <w:drawing>
          <wp:inline>
            <wp:extent cx="5778500" cy="3250406"/>
            <wp:effectExtent b="0" l="0" r="0" t="0"/>
            <wp:docPr descr="Adding a TK label." title="" id="36" name="Picture"/>
            <a:graphic>
              <a:graphicData uri="http://schemas.openxmlformats.org/drawingml/2006/picture">
                <pic:pic>
                  <pic:nvPicPr>
                    <pic:cNvPr descr="images/training-compliance-4/05-label.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Adding a TK label.</w:t>
      </w:r>
    </w:p>
    <w:p>
      <w:pPr>
        <w:pStyle w:val="BodyText"/>
      </w:pPr>
      <w:r>
        <w:t xml:space="preserve">Under</w:t>
      </w:r>
      <w:r>
        <w:t xml:space="preserve"> </w:t>
      </w:r>
      <w:r>
        <w:rPr>
          <w:bCs/>
          <w:b/>
        </w:rPr>
        <w:t xml:space="preserve">Notices</w:t>
      </w:r>
      <w:r>
        <w:t xml:space="preserve">, choose the notice type (here</w:t>
      </w:r>
      <w:r>
        <w:t xml:space="preserve"> </w:t>
      </w:r>
      <w:r>
        <w:rPr>
          <w:bCs/>
          <w:b/>
        </w:rPr>
        <w:t xml:space="preserve">Seasonal Restriction</w:t>
      </w:r>
      <w:r>
        <w:t xml:space="preserve">), the community and, if the default wording does not fit, the community’s own text. Start and end dates are optional, and</w:t>
      </w:r>
      <w:r>
        <w:t xml:space="preserve"> </w:t>
      </w:r>
      <w:r>
        <w:rPr>
          <w:bCs/>
          <w:b/>
        </w:rPr>
        <w:t xml:space="preserve">Apply to child records</w:t>
      </w:r>
      <w:r>
        <w:t xml:space="preserve"> </w:t>
      </w:r>
      <w:r>
        <w:t xml:space="preserve">passes the notice down the hierarchy. Click</w:t>
      </w:r>
      <w:r>
        <w:t xml:space="preserve"> </w:t>
      </w:r>
      <w:r>
        <w:rPr>
          <w:bCs/>
          <w:b/>
        </w:rPr>
        <w:t xml:space="preserve">Add Notice</w:t>
      </w:r>
      <w:r>
        <w:t xml:space="preserve">.</w:t>
      </w:r>
    </w:p>
    <w:p>
      <w:pPr>
        <w:pStyle w:val="CaptionedFigure"/>
      </w:pPr>
      <w:r>
        <w:drawing>
          <wp:inline>
            <wp:extent cx="5778500" cy="3250406"/>
            <wp:effectExtent b="0" l="0" r="0" t="0"/>
            <wp:docPr descr="Adding a cultural notice." title="" id="39" name="Picture"/>
            <a:graphic>
              <a:graphicData uri="http://schemas.openxmlformats.org/drawingml/2006/picture">
                <pic:pic>
                  <pic:nvPicPr>
                    <pic:cNvPr descr="images/training-compliance-4/06-notice.png" id="40" name="Picture"/>
                    <pic:cNvPicPr>
                      <a:picLocks noChangeArrowheads="1" noChangeAspect="1"/>
                    </pic:cNvPicPr>
                  </pic:nvPicPr>
                  <pic:blipFill>
                    <a:blip r:embed="rId3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Adding a cultural notice.</w:t>
      </w:r>
    </w:p>
    <w:p>
      <w:pPr>
        <w:pStyle w:val="BodyText"/>
      </w:pPr>
      <w:r>
        <w:t xml:space="preserve">The notice appears at the top of the record.</w:t>
      </w:r>
    </w:p>
    <w:p>
      <w:pPr>
        <w:pStyle w:val="CaptionedFigure"/>
      </w:pPr>
      <w:r>
        <w:drawing>
          <wp:inline>
            <wp:extent cx="5778500" cy="3250406"/>
            <wp:effectExtent b="0" l="0" r="0" t="0"/>
            <wp:docPr descr="The notice on the record." title="" id="42" name="Picture"/>
            <a:graphic>
              <a:graphicData uri="http://schemas.openxmlformats.org/drawingml/2006/picture">
                <pic:pic>
                  <pic:nvPicPr>
                    <pic:cNvPr descr="images/training-compliance-4/07-notice-shown.png" id="43" name="Picture"/>
                    <pic:cNvPicPr>
                      <a:picLocks noChangeArrowheads="1" noChangeAspect="1"/>
                    </pic:cNvPicPr>
                  </pic:nvPicPr>
                  <pic:blipFill>
                    <a:blip r:embed="rId4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notice on the record.</w:t>
      </w:r>
    </w:p>
    <w:bookmarkEnd w:id="44"/>
    <w:bookmarkStart w:id="48" w:name="what-visitors-see"/>
    <w:p>
      <w:pPr>
        <w:pStyle w:val="Heading2"/>
      </w:pPr>
      <w:r>
        <w:t xml:space="preserve">4. What visitors see</w:t>
      </w:r>
    </w:p>
    <w:p>
      <w:pPr>
        <w:pStyle w:val="FirstParagraph"/>
      </w:pPr>
      <w:r>
        <w:t xml:space="preserve">Signed out, a visitor sees the cultural notice first, then the TK label under Indigenous cultural &amp; IP, the rights statement and the licence.</w:t>
      </w:r>
    </w:p>
    <w:p>
      <w:pPr>
        <w:pStyle w:val="CaptionedFigure"/>
      </w:pPr>
      <w:r>
        <w:drawing>
          <wp:inline>
            <wp:extent cx="5778500" cy="3250406"/>
            <wp:effectExtent b="0" l="0" r="0" t="0"/>
            <wp:docPr descr="The record as a visitor sees it." title="" id="46" name="Picture"/>
            <a:graphic>
              <a:graphicData uri="http://schemas.openxmlformats.org/drawingml/2006/picture">
                <pic:pic>
                  <pic:nvPicPr>
                    <pic:cNvPr descr="images/training-compliance-4/08-public.png" id="47" name="Picture"/>
                    <pic:cNvPicPr>
                      <a:picLocks noChangeArrowheads="1" noChangeAspect="1"/>
                    </pic:cNvPicPr>
                  </pic:nvPicPr>
                  <pic:blipFill>
                    <a:blip r:embed="rId4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record as a visitor sees it.</w:t>
      </w:r>
    </w:p>
    <w:bookmarkEnd w:id="48"/>
    <w:bookmarkStart w:id="58" w:name="embargo"/>
    <w:p>
      <w:pPr>
        <w:pStyle w:val="Heading2"/>
      </w:pPr>
      <w:r>
        <w:t xml:space="preserve">5. Embargo</w:t>
      </w:r>
    </w:p>
    <w:p>
      <w:pPr>
        <w:pStyle w:val="FirstParagraph"/>
      </w:pPr>
      <w:r>
        <w:t xml:space="preserve">On the record, click</w:t>
      </w:r>
      <w:r>
        <w:t xml:space="preserve"> </w:t>
      </w:r>
      <w:r>
        <w:rPr>
          <w:bCs/>
          <w:b/>
        </w:rPr>
        <w:t xml:space="preserve">Add embargo</w:t>
      </w:r>
      <w:r>
        <w:t xml:space="preserve">.</w:t>
      </w:r>
    </w:p>
    <w:p>
      <w:pPr>
        <w:pStyle w:val="TableCaption"/>
      </w:pPr>
      <w:r>
        <w:t xml:space="preserve">Embargo types</w:t>
      </w:r>
    </w:p>
    <w:tbl>
      <w:tblPr>
        <w:tblStyle w:val="Table"/>
        <w:tblW w:type="pct" w:w="5000"/>
        <w:tblLook w:firstRow="1" w:lastRow="0" w:firstColumn="0" w:lastColumn="0" w:noHBand="0" w:noVBand="0" w:val="0020"/>
        <w:jc w:val="start"/>
        <w:tblCaption w:val="Embargo types"/>
      </w:tblPr>
      <w:tblGrid>
        <w:gridCol w:w="3960"/>
        <w:gridCol w:w="3960"/>
      </w:tblGrid>
      <w:tr>
        <w:trPr>
          <w:tblHeader w:val="true"/>
        </w:trPr>
        <w:tc>
          <w:tcPr/>
          <w:p>
            <w:pPr>
              <w:pStyle w:val="Compact"/>
              <w:jc w:val="left"/>
            </w:pPr>
            <w:r>
              <w:t xml:space="preserve">Embargo type</w:t>
            </w:r>
          </w:p>
        </w:tc>
        <w:tc>
          <w:tcPr/>
          <w:p>
            <w:pPr>
              <w:pStyle w:val="Compact"/>
              <w:jc w:val="left"/>
            </w:pPr>
            <w:r>
              <w:t xml:space="preserve">Effect</w:t>
            </w:r>
          </w:p>
        </w:tc>
      </w:tr>
      <w:tr>
        <w:tc>
          <w:tcPr/>
          <w:p>
            <w:pPr>
              <w:pStyle w:val="Compact"/>
              <w:jc w:val="left"/>
            </w:pPr>
            <w:r>
              <w:t xml:space="preserve">Full</w:t>
            </w:r>
          </w:p>
        </w:tc>
        <w:tc>
          <w:tcPr/>
          <w:p>
            <w:pPr>
              <w:pStyle w:val="Compact"/>
              <w:jc w:val="left"/>
            </w:pPr>
            <w:r>
              <w:t xml:space="preserve">Hides the record completely from visitors, including search</w:t>
            </w:r>
          </w:p>
        </w:tc>
      </w:tr>
      <w:tr>
        <w:tc>
          <w:tcPr/>
          <w:p>
            <w:pPr>
              <w:pStyle w:val="Compact"/>
              <w:jc w:val="left"/>
            </w:pPr>
            <w:r>
              <w:t xml:space="preserve">Metadata Only</w:t>
            </w:r>
          </w:p>
        </w:tc>
        <w:tc>
          <w:tcPr/>
          <w:p>
            <w:pPr>
              <w:pStyle w:val="Compact"/>
              <w:jc w:val="left"/>
            </w:pPr>
            <w:r>
              <w:t xml:space="preserve">Hides the digital objects; the description stays visible</w:t>
            </w:r>
          </w:p>
        </w:tc>
      </w:tr>
      <w:tr>
        <w:tc>
          <w:tcPr/>
          <w:p>
            <w:pPr>
              <w:pStyle w:val="Compact"/>
              <w:jc w:val="left"/>
            </w:pPr>
            <w:r>
              <w:t xml:space="preserve">Digital Object</w:t>
            </w:r>
          </w:p>
        </w:tc>
        <w:tc>
          <w:tcPr/>
          <w:p>
            <w:pPr>
              <w:pStyle w:val="Compact"/>
              <w:jc w:val="left"/>
            </w:pPr>
            <w:r>
              <w:t xml:space="preserve">Restricts downloads</w:t>
            </w:r>
          </w:p>
        </w:tc>
      </w:tr>
      <w:tr>
        <w:tc>
          <w:tcPr/>
          <w:p>
            <w:pPr>
              <w:pStyle w:val="Compact"/>
              <w:jc w:val="left"/>
            </w:pPr>
            <w:r>
              <w:t xml:space="preserve">Custom</w:t>
            </w:r>
          </w:p>
        </w:tc>
        <w:tc>
          <w:tcPr/>
          <w:p>
            <w:pPr>
              <w:pStyle w:val="Compact"/>
              <w:jc w:val="left"/>
            </w:pPr>
            <w:r>
              <w:t xml:space="preserve">As configured for your site</w:t>
            </w:r>
          </w:p>
        </w:tc>
      </w:tr>
    </w:tbl>
    <w:p>
      <w:pPr>
        <w:pStyle w:val="BodyText"/>
      </w:pPr>
      <w:r>
        <w:t xml:space="preserve">Set the start and end dates, or tick</w:t>
      </w:r>
      <w:r>
        <w:t xml:space="preserve"> </w:t>
      </w:r>
      <w:r>
        <w:rPr>
          <w:bCs/>
          <w:b/>
        </w:rPr>
        <w:t xml:space="preserve">Perpetual</w:t>
      </w:r>
      <w:r>
        <w:t xml:space="preserve"> </w:t>
      </w:r>
      <w:r>
        <w:t xml:space="preserve">for no end date. The</w:t>
      </w:r>
      <w:r>
        <w:t xml:space="preserve"> </w:t>
      </w:r>
      <w:r>
        <w:rPr>
          <w:bCs/>
          <w:b/>
        </w:rPr>
        <w:t xml:space="preserve">Reason</w:t>
      </w:r>
      <w:r>
        <w:t xml:space="preserve"> </w:t>
      </w:r>
      <w:r>
        <w:t xml:space="preserve">is shown to visitors who are turned away;</w:t>
      </w:r>
      <w:r>
        <w:t xml:space="preserve"> </w:t>
      </w:r>
      <w:r>
        <w:rPr>
          <w:bCs/>
          <w:b/>
        </w:rPr>
        <w:t xml:space="preserve">Internal Notes</w:t>
      </w:r>
      <w:r>
        <w:t xml:space="preserve"> </w:t>
      </w:r>
      <w:r>
        <w:t xml:space="preserve">are for staff only.</w:t>
      </w:r>
    </w:p>
    <w:p>
      <w:pPr>
        <w:pStyle w:val="BodyText"/>
      </w:pPr>
      <w:r>
        <w:t xml:space="preserve">The deliberate mistake: an end date before the start date. The embargo is refused with</w:t>
      </w:r>
      <w:r>
        <w:t xml:space="preserve"> </w:t>
      </w:r>
      <w:r>
        <w:t xml:space="preserve">“</w:t>
      </w:r>
      <w:r>
        <w:t xml:space="preserve">The end date is before the start date</w:t>
      </w:r>
      <w:r>
        <w:t xml:space="preserve">”</w:t>
      </w:r>
      <w:r>
        <w:t xml:space="preserve">, and everything typed is kept.</w:t>
      </w:r>
    </w:p>
    <w:p>
      <w:pPr>
        <w:pStyle w:val="CaptionedFigure"/>
      </w:pPr>
      <w:r>
        <w:drawing>
          <wp:inline>
            <wp:extent cx="5778500" cy="3250406"/>
            <wp:effectExtent b="0" l="0" r="0" t="0"/>
            <wp:docPr descr="The dates refused." title="" id="50" name="Picture"/>
            <a:graphic>
              <a:graphicData uri="http://schemas.openxmlformats.org/drawingml/2006/picture">
                <pic:pic>
                  <pic:nvPicPr>
                    <pic:cNvPr descr="images/training-compliance-4/09-refused.png" id="51" name="Picture"/>
                    <pic:cNvPicPr>
                      <a:picLocks noChangeArrowheads="1" noChangeAspect="1"/>
                    </pic:cNvPicPr>
                  </pic:nvPicPr>
                  <pic:blipFill>
                    <a:blip r:embed="rId4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dates refused.</w:t>
      </w:r>
    </w:p>
    <w:p>
      <w:pPr>
        <w:pStyle w:val="BodyText"/>
      </w:pPr>
      <w:r>
        <w:t xml:space="preserve">Correct the end date and click</w:t>
      </w:r>
      <w:r>
        <w:t xml:space="preserve"> </w:t>
      </w:r>
      <w:r>
        <w:rPr>
          <w:bCs/>
          <w:b/>
        </w:rPr>
        <w:t xml:space="preserve">Create Embargo</w:t>
      </w:r>
      <w:r>
        <w:t xml:space="preserve">. The record shows that it is embargoed.</w:t>
      </w:r>
    </w:p>
    <w:p>
      <w:pPr>
        <w:pStyle w:val="CaptionedFigure"/>
      </w:pPr>
      <w:r>
        <w:drawing>
          <wp:inline>
            <wp:extent cx="5778500" cy="3250406"/>
            <wp:effectExtent b="0" l="0" r="0" t="0"/>
            <wp:docPr descr="The record under embargo." title="" id="53" name="Picture"/>
            <a:graphic>
              <a:graphicData uri="http://schemas.openxmlformats.org/drawingml/2006/picture">
                <pic:pic>
                  <pic:nvPicPr>
                    <pic:cNvPr descr="images/training-compliance-4/10-embargoed.png" id="54" name="Picture"/>
                    <pic:cNvPicPr>
                      <a:picLocks noChangeArrowheads="1" noChangeAspect="1"/>
                    </pic:cNvPicPr>
                  </pic:nvPicPr>
                  <pic:blipFill>
                    <a:blip r:embed="rId5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record under embargo.</w:t>
      </w:r>
    </w:p>
    <w:p>
      <w:pPr>
        <w:pStyle w:val="BodyText"/>
      </w:pPr>
      <w:r>
        <w:t xml:space="preserve">Signed out, the record is closed. The visitor is told it is under embargo, until when, and why. The title is withheld, and the record no longer appears in search results.</w:t>
      </w:r>
    </w:p>
    <w:p>
      <w:pPr>
        <w:pStyle w:val="CaptionedFigure"/>
      </w:pPr>
      <w:r>
        <w:drawing>
          <wp:inline>
            <wp:extent cx="5778500" cy="3250406"/>
            <wp:effectExtent b="0" l="0" r="0" t="0"/>
            <wp:docPr descr="What a visitor sees." title="" id="56" name="Picture"/>
            <a:graphic>
              <a:graphicData uri="http://schemas.openxmlformats.org/drawingml/2006/picture">
                <pic:pic>
                  <pic:nvPicPr>
                    <pic:cNvPr descr="images/training-compliance-4/11-visitor.png" id="57" name="Picture"/>
                    <pic:cNvPicPr>
                      <a:picLocks noChangeArrowheads="1" noChangeAspect="1"/>
                    </pic:cNvPicPr>
                  </pic:nvPicPr>
                  <pic:blipFill>
                    <a:blip r:embed="rId5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What a visitor sees.</w:t>
      </w:r>
    </w:p>
    <w:bookmarkEnd w:id="58"/>
    <w:bookmarkStart w:id="65" w:name="lift-the-embargo"/>
    <w:p>
      <w:pPr>
        <w:pStyle w:val="Heading2"/>
      </w:pPr>
      <w:r>
        <w:t xml:space="preserve">6. Lift the embargo</w:t>
      </w:r>
    </w:p>
    <w:p>
      <w:pPr>
        <w:pStyle w:val="FirstParagraph"/>
      </w:pPr>
      <w:r>
        <w:rPr>
          <w:bCs/>
          <w:b/>
        </w:rPr>
        <w:t xml:space="preserve">Embargo Management</w:t>
      </w:r>
      <w:r>
        <w:t xml:space="preserve"> </w:t>
      </w:r>
      <w:r>
        <w:t xml:space="preserve">(</w:t>
      </w:r>
      <w:r>
        <w:rPr>
          <w:rStyle w:val="VerbatimChar"/>
        </w:rPr>
        <w:t xml:space="preserve">/extendedRights/embargoes</w:t>
      </w:r>
      <w:r>
        <w:t xml:space="preserve">) lists every active embargo, those with an end date first.</w:t>
      </w:r>
    </w:p>
    <w:p>
      <w:pPr>
        <w:pStyle w:val="CaptionedFigure"/>
      </w:pPr>
      <w:r>
        <w:drawing>
          <wp:inline>
            <wp:extent cx="5778500" cy="3250406"/>
            <wp:effectExtent b="0" l="0" r="0" t="0"/>
            <wp:docPr descr="Embargo Management." title="" id="60" name="Picture"/>
            <a:graphic>
              <a:graphicData uri="http://schemas.openxmlformats.org/drawingml/2006/picture">
                <pic:pic>
                  <pic:nvPicPr>
                    <pic:cNvPr descr="images/training-compliance-4/12-embargoes.png" id="61" name="Picture"/>
                    <pic:cNvPicPr>
                      <a:picLocks noChangeArrowheads="1" noChangeAspect="1"/>
                    </pic:cNvPicPr>
                  </pic:nvPicPr>
                  <pic:blipFill>
                    <a:blip r:embed="rId5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Embargo Management.</w:t>
      </w:r>
    </w:p>
    <w:p>
      <w:pPr>
        <w:pStyle w:val="BodyText"/>
      </w:pPr>
      <w:r>
        <w:t xml:space="preserve">Click</w:t>
      </w:r>
      <w:r>
        <w:t xml:space="preserve"> </w:t>
      </w:r>
      <w:r>
        <w:rPr>
          <w:bCs/>
          <w:b/>
        </w:rPr>
        <w:t xml:space="preserve">Lift</w:t>
      </w:r>
      <w:r>
        <w:t xml:space="preserve">, give the reason, and click</w:t>
      </w:r>
      <w:r>
        <w:t xml:space="preserve"> </w:t>
      </w:r>
      <w:r>
        <w:rPr>
          <w:bCs/>
          <w:b/>
        </w:rPr>
        <w:t xml:space="preserve">Lift Embargo</w:t>
      </w:r>
      <w:r>
        <w:t xml:space="preserve">. The record opens again, and the lift is recorded with who did it and why. An embargo with an end date is also released by the scheduled</w:t>
      </w:r>
      <w:r>
        <w:t xml:space="preserve"> </w:t>
      </w:r>
      <w:r>
        <w:rPr>
          <w:rStyle w:val="VerbatimChar"/>
        </w:rPr>
        <w:t xml:space="preserve">embargo:process</w:t>
      </w:r>
      <w:r>
        <w:t xml:space="preserve"> </w:t>
      </w:r>
      <w:r>
        <w:t xml:space="preserve">task once that date passes.</w:t>
      </w:r>
    </w:p>
    <w:p>
      <w:pPr>
        <w:pStyle w:val="CaptionedFigure"/>
      </w:pPr>
      <w:r>
        <w:drawing>
          <wp:inline>
            <wp:extent cx="5778500" cy="3250406"/>
            <wp:effectExtent b="0" l="0" r="0" t="0"/>
            <wp:docPr descr="The embargo lifted." title="" id="63" name="Picture"/>
            <a:graphic>
              <a:graphicData uri="http://schemas.openxmlformats.org/drawingml/2006/picture">
                <pic:pic>
                  <pic:nvPicPr>
                    <pic:cNvPr descr="images/training-compliance-4/13-lifted.png" id="64" name="Picture"/>
                    <pic:cNvPicPr>
                      <a:picLocks noChangeArrowheads="1" noChangeAspect="1"/>
                    </pic:cNvPicPr>
                  </pic:nvPicPr>
                  <pic:blipFill>
                    <a:blip r:embed="rId6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embargo lifted.</w:t>
      </w:r>
    </w:p>
    <w:bookmarkEnd w:id="65"/>
    <w:bookmarkStart w:id="66" w:name="recap"/>
    <w:p>
      <w:pPr>
        <w:pStyle w:val="Heading2"/>
      </w:pPr>
      <w:r>
        <w:t xml:space="preserve">Recap</w:t>
      </w:r>
    </w:p>
    <w:p>
      <w:pPr>
        <w:numPr>
          <w:ilvl w:val="0"/>
          <w:numId w:val="1001"/>
        </w:numPr>
        <w:pStyle w:val="Compact"/>
      </w:pPr>
      <w:r>
        <w:t xml:space="preserve">Record the rights statement and licence.</w:t>
      </w:r>
    </w:p>
    <w:p>
      <w:pPr>
        <w:numPr>
          <w:ilvl w:val="0"/>
          <w:numId w:val="1001"/>
        </w:numPr>
        <w:pStyle w:val="Compact"/>
      </w:pPr>
      <w:r>
        <w:t xml:space="preserve">Record the community, then its TK labels and cultural notices.</w:t>
      </w:r>
    </w:p>
    <w:p>
      <w:pPr>
        <w:numPr>
          <w:ilvl w:val="0"/>
          <w:numId w:val="1001"/>
        </w:numPr>
        <w:pStyle w:val="Compact"/>
      </w:pPr>
      <w:r>
        <w:t xml:space="preserve">Check what visitors see.</w:t>
      </w:r>
    </w:p>
    <w:p>
      <w:pPr>
        <w:numPr>
          <w:ilvl w:val="0"/>
          <w:numId w:val="1001"/>
        </w:numPr>
        <w:pStyle w:val="Compact"/>
      </w:pPr>
      <w:r>
        <w:t xml:space="preserve">Embargo with an end date and a reason; lift it when the time comes.</w:t>
      </w:r>
    </w:p>
    <w:p>
      <w:pPr>
        <w:pStyle w:val="FirstParagraph"/>
      </w:pPr>
      <w:r>
        <w:t xml:space="preserve">Part 5 covers the audit trail.</w:t>
      </w:r>
    </w:p>
    <w:bookmarkEnd w:id="66"/>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Compliance, Part 4 - Rights, TK Labels and Embargoes</dc:title>
  <dc:creator>Dr Johan Pieterse</dc:creator>
  <cp:keywords/>
  <dcterms:created xsi:type="dcterms:W3CDTF">2026-10-12T08:09:27Z</dcterms:created>
  <dcterms:modified xsi:type="dcterms:W3CDTF">2026-10-12T08:09:27Z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recording rights statements and licences, community TK labels and cultural notices, and placing and lifting an embargo</vt:lpwstr>
  </property>
</Properties>
</file>