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Records Management — User Guide</w:t>
      </w:r>
    </w:p>
    <w:p>
      <w:pPr>
        <w:pStyle w:val="Author"/>
      </w:pPr>
      <w:r>
        <w:t xml:space="preserve">The Archive and Heritage Group (Pty) Ltd</w:t>
      </w:r>
    </w:p>
    <w:bookmarkStart w:id="34" w:name="records-management"/>
    <w:p>
      <w:pPr>
        <w:pStyle w:val="Heading1"/>
      </w:pPr>
      <w:r>
        <w:t xml:space="preserve">Records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a records-management</w:t>
      </w:r>
      <w:r>
        <w:t xml:space="preserve"> </w:t>
      </w:r>
      <w:r>
        <w:rPr>
          <w:bCs/>
          <w:b/>
        </w:rPr>
        <w:t xml:space="preserve">file plan</w:t>
      </w:r>
      <w:r>
        <w:t xml:space="preserve"> </w:t>
      </w:r>
      <w:r>
        <w:t xml:space="preserve">(classification scheme) and</w:t>
      </w:r>
      <w:r>
        <w:t xml:space="preserve"> </w:t>
      </w:r>
      <w:r>
        <w:rPr>
          <w:bCs/>
          <w:b/>
        </w:rPr>
        <w:t xml:space="preserve">capture business email as records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ahgRecordsManagePlugin</w:t>
      </w:r>
      <w:r>
        <w:t xml:space="preserve">. Use this to classify archival material against a controlled hierarchy of functions/series/files with retention and disposal metadata, and to bring email correspondence under records control.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Build the   │    │   Capture    │    │   Classify   │    │   Declare    │</w:t>
      </w:r>
      <w:r>
        <w:br/>
      </w:r>
      <w:r>
        <w:rPr>
          <w:rStyle w:val="VerbatimChar"/>
        </w:rPr>
        <w:t xml:space="preserve">│  File Plan   │ ──▶│   Email      │ ──▶│   to a Node  │ ──▶│  as a Record │</w:t>
      </w:r>
      <w:r>
        <w:br/>
      </w:r>
      <w:r>
        <w:rPr>
          <w:rStyle w:val="VerbatimChar"/>
        </w:rPr>
        <w:t xml:space="preserve">│              │    │              │    │              │    │              │</w:t>
      </w:r>
      <w:r>
        <w:br/>
      </w:r>
      <w:r>
        <w:rPr>
          <w:rStyle w:val="VerbatimChar"/>
        </w:rPr>
        <w:t xml:space="preserve">│ Function →   │    │ Upload .eml  │    │ Pick file-   │    │ Becomes an   │</w:t>
      </w:r>
      <w:r>
        <w:br/>
      </w:r>
      <w:r>
        <w:rPr>
          <w:rStyle w:val="VerbatimChar"/>
        </w:rPr>
        <w:t xml:space="preserve">│ Series →File │    │ to the queue │    │ plan node    │    │ archival IO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file-plan-classification-scheme"/>
    <w:p>
      <w:pPr>
        <w:pStyle w:val="Heading2"/>
      </w:pPr>
      <w:r>
        <w:t xml:space="preserve">1. File plan / classification scheme</w:t>
      </w:r>
    </w:p>
    <w:p>
      <w:pPr>
        <w:pStyle w:val="FirstParagraph"/>
      </w:pPr>
      <w:r>
        <w:rPr>
          <w:bCs/>
          <w:b/>
        </w:rPr>
        <w:t xml:space="preserve">Where:</w:t>
      </w:r>
      <w:r>
        <w:t xml:space="preserve"> </w:t>
      </w:r>
      <w:r>
        <w:t xml:space="preserve">Admin → Privacy &amp; Compliance dashboard →</w:t>
      </w:r>
      <w:r>
        <w:t xml:space="preserve"> </w:t>
      </w:r>
      <w:r>
        <w:rPr>
          <w:iCs/>
          <w:i/>
        </w:rPr>
        <w:t xml:space="preserve">Field redaction</w:t>
      </w:r>
      <w:r>
        <w:t xml:space="preserve"> </w:t>
      </w:r>
      <w:r>
        <w:t xml:space="preserve">neighbour, or directly at</w:t>
      </w:r>
      <w:r>
        <w:t xml:space="preserve"> </w:t>
      </w:r>
      <w:r>
        <w:rPr>
          <w:rStyle w:val="VerbatimChar"/>
        </w:rPr>
        <w:t xml:space="preserve">/recordsManage/filePlan</w:t>
      </w:r>
      <w:r>
        <w:t xml:space="preserve">.</w:t>
      </w:r>
    </w:p>
    <w:p>
      <w:pPr>
        <w:pStyle w:val="BodyText"/>
      </w:pPr>
      <w:r>
        <w:t xml:space="preserve">The file plan is a</w:t>
      </w:r>
      <w:r>
        <w:t xml:space="preserve"> </w:t>
      </w:r>
      <w:r>
        <w:rPr>
          <w:bCs/>
          <w:b/>
        </w:rPr>
        <w:t xml:space="preserve">tree</w:t>
      </w:r>
      <w:r>
        <w:t xml:space="preserve"> </w:t>
      </w:r>
      <w:r>
        <w:t xml:space="preserve">of classification nodes. Each node has: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classification code (e.g. </w:t>
            </w:r>
            <w:r>
              <w:rPr>
                <w:rStyle w:val="VerbatimChar"/>
              </w:rPr>
              <w:t xml:space="preserve">GOV-01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subseries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sits in the tree (blank = top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t xml:space="preserve">“</w:t>
            </w:r>
            <w:r>
              <w:t xml:space="preserve">7 years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Permanent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Disposal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destroy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retain_permanent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</w:p>
        </w:tc>
      </w:tr>
    </w:tbl>
    <w:bookmarkStart w:id="22" w:name="add-a-node"/>
    <w:p>
      <w:pPr>
        <w:pStyle w:val="Heading3"/>
      </w:pPr>
      <w:r>
        <w:t xml:space="preserve">Add a node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File plan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Add node</w:t>
      </w:r>
      <w:r>
        <w:t xml:space="preserve"> </w:t>
      </w:r>
      <w:r>
        <w:t xml:space="preserve">panel, choose a</w:t>
      </w:r>
      <w:r>
        <w:t xml:space="preserve"> </w:t>
      </w:r>
      <w:r>
        <w:rPr>
          <w:bCs/>
          <w:b/>
        </w:rPr>
        <w:t xml:space="preserve">Parent</w:t>
      </w:r>
      <w:r>
        <w:t xml:space="preserve"> </w:t>
      </w:r>
      <w:r>
        <w:t xml:space="preserve">(or leave blank for a top-level function), enter a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Title</w:t>
      </w:r>
      <w:r>
        <w:t xml:space="preserve">, pick the</w:t>
      </w:r>
      <w:r>
        <w:t xml:space="preserve"> </w:t>
      </w:r>
      <w:r>
        <w:rPr>
          <w:bCs/>
          <w:b/>
        </w:rPr>
        <w:t xml:space="preserve">Type</w:t>
      </w:r>
      <w:r>
        <w:t xml:space="preserve">, and optionally a</w:t>
      </w:r>
      <w:r>
        <w:t xml:space="preserve"> </w:t>
      </w:r>
      <w:r>
        <w:rPr>
          <w:bCs/>
          <w:b/>
        </w:rPr>
        <w:t xml:space="preserve">Retention period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Disposal action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node</w:t>
      </w:r>
      <w:r>
        <w:t xml:space="preserve">. The tree re-indents automatically.</w:t>
      </w:r>
    </w:p>
    <w:bookmarkEnd w:id="22"/>
    <w:bookmarkStart w:id="23" w:name="edit-delete"/>
    <w:p>
      <w:pPr>
        <w:pStyle w:val="Heading3"/>
      </w:pPr>
      <w:r>
        <w:t xml:space="preserve">Edit / delete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pencil</w:t>
      </w:r>
      <w:r>
        <w:t xml:space="preserve"> </w:t>
      </w:r>
      <w:r>
        <w:t xml:space="preserve">to edit a node.</w:t>
      </w:r>
    </w:p>
    <w:p>
      <w:pPr>
        <w:numPr>
          <w:ilvl w:val="0"/>
          <w:numId w:val="100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trash</w:t>
      </w:r>
      <w:r>
        <w:t xml:space="preserve"> </w:t>
      </w:r>
      <w:r>
        <w:t xml:space="preserve">to delete — a node can only be deleted if it has</w:t>
      </w:r>
      <w:r>
        <w:t xml:space="preserve"> </w:t>
      </w:r>
      <w:r>
        <w:rPr>
          <w:bCs/>
          <w:b/>
        </w:rPr>
        <w:t xml:space="preserve">no children and no linked records</w:t>
      </w:r>
      <w:r>
        <w:t xml:space="preserve"> </w:t>
      </w:r>
      <w:r>
        <w:t xml:space="preserve">(the system blocks otherwise to protect the hierarchy).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Cs/>
          <w:b/>
        </w:rPr>
        <w:t xml:space="preserve">Records</w:t>
      </w:r>
      <w:r>
        <w:t xml:space="preserve"> </w:t>
      </w:r>
      <w:r>
        <w:t xml:space="preserve">column shows how many archival descriptions are linked to each node (by disposal class, or by identifier prefix match).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email-capture"/>
    <w:p>
      <w:pPr>
        <w:pStyle w:val="Heading2"/>
      </w:pPr>
      <w:r>
        <w:t xml:space="preserve">2. Email capture</w:t>
      </w:r>
    </w:p>
    <w:p>
      <w:pPr>
        <w:pStyle w:val="FirstParagraph"/>
      </w:pPr>
      <w:r>
        <w:rPr>
          <w:bCs/>
          <w:b/>
        </w:rPr>
        <w:t xml:space="preserve">Where:</w:t>
      </w:r>
      <w:r>
        <w:t xml:space="preserve"> </w:t>
      </w:r>
      <w:r>
        <w:rPr>
          <w:rStyle w:val="VerbatimChar"/>
        </w:rPr>
        <w:t xml:space="preserve">/recordsManage/emailCapture</w:t>
      </w:r>
      <w:r>
        <w:t xml:space="preserve">.</w:t>
      </w:r>
    </w:p>
    <w:p>
      <w:pPr>
        <w:pStyle w:val="BodyText"/>
      </w:pPr>
      <w:r>
        <w:t xml:space="preserve">Bring business email under records control as a three-stage queue:</w:t>
      </w:r>
      <w:r>
        <w:t xml:space="preserve"> </w:t>
      </w:r>
      <w:r>
        <w:rPr>
          <w:bCs/>
          <w:b/>
        </w:rPr>
        <w:t xml:space="preserve">captured → classified → declared</w:t>
      </w:r>
      <w:r>
        <w:t xml:space="preserve">.</w:t>
      </w:r>
    </w:p>
    <w:bookmarkStart w:id="25" w:name="capture"/>
    <w:p>
      <w:pPr>
        <w:pStyle w:val="Heading3"/>
      </w:pPr>
      <w:r>
        <w:t xml:space="preserve">Capture</w:t>
      </w:r>
    </w:p>
    <w:p>
      <w:pPr>
        <w:numPr>
          <w:ilvl w:val="0"/>
          <w:numId w:val="1003"/>
        </w:numPr>
        <w:pStyle w:val="Compact"/>
      </w:pPr>
      <w:r>
        <w:t xml:space="preserve">Export the email from your mail client as an</w:t>
      </w:r>
      <w:r>
        <w:t xml:space="preserve"> </w:t>
      </w:r>
      <w:r>
        <w:rPr>
          <w:rStyle w:val="VerbatimChar"/>
          <w:bCs/>
          <w:b/>
        </w:rPr>
        <w:t xml:space="preserve">.eml</w:t>
      </w:r>
      <w:r>
        <w:t xml:space="preserve"> </w:t>
      </w:r>
      <w:r>
        <w:t xml:space="preserve">file (one message per file).</w:t>
      </w:r>
    </w:p>
    <w:p>
      <w:pPr>
        <w:numPr>
          <w:ilvl w:val="0"/>
          <w:numId w:val="1003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Email capture</w:t>
      </w:r>
      <w:r>
        <w:t xml:space="preserve"> </w:t>
      </w:r>
      <w:r>
        <w:t xml:space="preserve">page, choose the file and click</w:t>
      </w:r>
      <w:r>
        <w:t xml:space="preserve"> </w:t>
      </w:r>
      <w:r>
        <w:rPr>
          <w:bCs/>
          <w:b/>
        </w:rPr>
        <w:t xml:space="preserve">Capture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system parses the headers + body, stores the original</w:t>
      </w:r>
      <w:r>
        <w:t xml:space="preserve"> </w:t>
      </w:r>
      <w:r>
        <w:rPr>
          <w:rStyle w:val="VerbatimChar"/>
        </w:rPr>
        <w:t xml:space="preserve">.eml</w:t>
      </w:r>
      <w:r>
        <w:t xml:space="preserve"> </w:t>
      </w:r>
      <w:r>
        <w:t xml:space="preserve">for forensic preservation, and adds a row to the queue. Re-uploading the same message (by</w:t>
      </w:r>
      <w:r>
        <w:t xml:space="preserve"> </w:t>
      </w:r>
      <w:r>
        <w:rPr>
          <w:rStyle w:val="VerbatimChar"/>
        </w:rPr>
        <w:t xml:space="preserve">Message-ID</w:t>
      </w:r>
      <w:r>
        <w:t xml:space="preserve">) is ignored as a duplicate.</w:t>
      </w:r>
    </w:p>
    <w:bookmarkEnd w:id="25"/>
    <w:bookmarkStart w:id="26" w:name="classify"/>
    <w:p>
      <w:pPr>
        <w:pStyle w:val="Heading3"/>
      </w:pPr>
      <w:r>
        <w:t xml:space="preserve">Classify</w:t>
      </w:r>
    </w:p>
    <w:p>
      <w:pPr>
        <w:numPr>
          <w:ilvl w:val="0"/>
          <w:numId w:val="1004"/>
        </w:numPr>
        <w:pStyle w:val="Compact"/>
      </w:pPr>
      <w:r>
        <w:t xml:space="preserve">In the queue, pick a</w:t>
      </w:r>
      <w:r>
        <w:t xml:space="preserve"> </w:t>
      </w:r>
      <w:r>
        <w:rPr>
          <w:bCs/>
          <w:b/>
        </w:rPr>
        <w:t xml:space="preserve">file-plan node</w:t>
      </w:r>
      <w:r>
        <w:t xml:space="preserve"> </w:t>
      </w:r>
      <w:r>
        <w:t xml:space="preserve">for the email and click the</w:t>
      </w:r>
      <w:r>
        <w:t xml:space="preserve"> </w:t>
      </w:r>
      <w:r>
        <w:rPr>
          <w:bCs/>
          <w:b/>
        </w:rPr>
        <w:t xml:space="preserve">tag</w:t>
      </w:r>
      <w:r>
        <w:t xml:space="preserve"> </w:t>
      </w:r>
      <w:r>
        <w:t xml:space="preserve">button. Status moves to</w:t>
      </w:r>
      <w:r>
        <w:t xml:space="preserve"> </w:t>
      </w:r>
      <w:r>
        <w:rPr>
          <w:iCs/>
          <w:i/>
        </w:rPr>
        <w:t xml:space="preserve">classified</w:t>
      </w:r>
      <w:r>
        <w:t xml:space="preserve">.</w:t>
      </w:r>
    </w:p>
    <w:bookmarkEnd w:id="26"/>
    <w:bookmarkStart w:id="27" w:name="declare-as-a-record"/>
    <w:p>
      <w:pPr>
        <w:pStyle w:val="Heading3"/>
      </w:pPr>
      <w:r>
        <w:t xml:space="preserve">Declare as a record</w:t>
      </w:r>
    </w:p>
    <w:p>
      <w:pPr>
        <w:numPr>
          <w:ilvl w:val="0"/>
          <w:numId w:val="1005"/>
        </w:numPr>
        <w:pStyle w:val="Compact"/>
      </w:pPr>
      <w:r>
        <w:t xml:space="preserve">Once classified, click</w:t>
      </w:r>
      <w:r>
        <w:t xml:space="preserve"> </w:t>
      </w:r>
      <w:r>
        <w:rPr>
          <w:bCs/>
          <w:b/>
        </w:rPr>
        <w:t xml:space="preserve">Declare as record</w:t>
      </w:r>
      <w:r>
        <w:t xml:space="preserve">. The email becomes a full archival</w:t>
      </w:r>
      <w:r>
        <w:t xml:space="preserve"> </w:t>
      </w:r>
      <w:r>
        <w:rPr>
          <w:bCs/>
          <w:b/>
        </w:rPr>
        <w:t xml:space="preserve">information object</w:t>
      </w:r>
      <w:r>
        <w:t xml:space="preserve"> </w:t>
      </w:r>
      <w:r>
        <w:t xml:space="preserve">(title = subject, scope note = from/to/sent + a body excerpt) appended to the catalogue, and the queue row links to it. The full lifecycle (retention, disposal) then applies like any other description.</w:t>
      </w:r>
    </w:p>
    <w:p>
      <w:pPr>
        <w:pStyle w:val="SourceCode"/>
      </w:pPr>
      <w:r>
        <w:rPr>
          <w:rStyle w:val="VerbatimChar"/>
        </w:rPr>
        <w:t xml:space="preserve">captured ──tag──▶ classified ──declare──▶ declared (→ Information Object)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All Records Management screens require the</w:t>
      </w:r>
      <w:r>
        <w:t xml:space="preserve"> </w:t>
      </w:r>
      <w:r>
        <w:rPr>
          <w:bCs/>
          <w:b/>
        </w:rPr>
        <w:t xml:space="preserve">administrator</w:t>
      </w:r>
      <w:r>
        <w:t xml:space="preserve"> </w:t>
      </w:r>
      <w:r>
        <w:t xml:space="preserve">credential.</w:t>
      </w:r>
    </w:p>
    <w:p>
      <w:r>
        <w:pict>
          <v:rect style="width:0;height:1.5pt" o:hralign="center" o:hrstd="t" o:hr="t"/>
        </w:pict>
      </w:r>
    </w:p>
    <w:bookmarkEnd w:id="29"/>
    <w:bookmarkStart w:id="33" w:name="related"/>
    <w:p>
      <w:pPr>
        <w:pStyle w:val="Heading2"/>
      </w:pPr>
      <w:r>
        <w:t xml:space="preserve">Related</w:t>
      </w:r>
    </w:p>
    <w:p>
      <w:pPr>
        <w:numPr>
          <w:ilvl w:val="0"/>
          <w:numId w:val="1006"/>
        </w:numPr>
        <w:pStyle w:val="Compact"/>
      </w:pPr>
      <w:hyperlink r:id="rId30">
        <w:r>
          <w:rPr>
            <w:rStyle w:val="Hyperlink"/>
          </w:rPr>
          <w:t xml:space="preserve">Extended Rights &amp; Retention</w:t>
        </w:r>
      </w:hyperlink>
      <w:r>
        <w:t xml:space="preserve"> </w:t>
      </w:r>
      <w:r>
        <w:t xml:space="preserve">— retention schedules and disposal workflow that file-plan nodes reference.</w:t>
      </w:r>
    </w:p>
    <w:p>
      <w:pPr>
        <w:numPr>
          <w:ilvl w:val="0"/>
          <w:numId w:val="1006"/>
        </w:numPr>
        <w:pStyle w:val="Compact"/>
      </w:pPr>
      <w:hyperlink r:id="rId31">
        <w:r>
          <w:rPr>
            <w:rStyle w:val="Hyperlink"/>
          </w:rPr>
          <w:t xml:space="preserve">NARSSA Transfer</w:t>
        </w:r>
      </w:hyperlink>
      <w:r>
        <w:t xml:space="preserve"> </w:t>
      </w:r>
      <w:r>
        <w:t xml:space="preserve">— generate transfer manifests for nodes whose disposal action is</w:t>
      </w:r>
      <w:r>
        <w:t xml:space="preserve"> </w:t>
      </w:r>
      <w:r>
        <w:rPr>
          <w:iCs/>
          <w:i/>
        </w:rPr>
        <w:t xml:space="preserve">transfer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hyperlink r:id="rId32">
        <w:r>
          <w:rPr>
            <w:rStyle w:val="Hyperlink"/>
          </w:rPr>
          <w:t xml:space="preserve">Privacy Compliance</w:t>
        </w:r>
      </w:hyperlink>
      <w:r>
        <w:t xml:space="preserve"> </w:t>
      </w:r>
      <w:r>
        <w:t xml:space="preserve">— DPIA, ROPA, DSAR, and field-level redaction.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AtoM_Heritage_NARSSA_Feature_Overview.md" TargetMode="External" /><Relationship Type="http://schemas.openxmlformats.org/officeDocument/2006/relationships/hyperlink" Id="rId30" Target="extended-rights-user-guide.md" TargetMode="External" /><Relationship Type="http://schemas.openxmlformats.org/officeDocument/2006/relationships/hyperlink" Id="rId32" Target="privacy-compliance-user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AtoM_Heritage_NARSSA_Feature_Overview.md" TargetMode="External" /><Relationship Type="http://schemas.openxmlformats.org/officeDocument/2006/relationships/hyperlink" Id="rId30" Target="extended-rights-user-guide.md" TargetMode="External" /><Relationship Type="http://schemas.openxmlformats.org/officeDocument/2006/relationships/hyperlink" Id="rId32" Target="privacy-compliance-user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Management — User Guide</dc:title>
  <dc:creator>The Archive and Heritage Group (Pty) Ltd</dc:creator>
  <cp:keywords/>
  <dcterms:created xsi:type="dcterms:W3CDTF">2026-06-03T17:31:17Z</dcterms:created>
  <dcterms:modified xsi:type="dcterms:W3CDTF">2026-06-03T17:31:17Z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