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2.png" ContentType="image/png"/>
  <Override PartName="/word/media/rId25.png" ContentType="image/png"/>
  <Override PartName="/word/media/rId29.png" ContentType="image/png"/>
  <Override PartName="/word/media/rId32.png" ContentType="image/png"/>
  <Override PartName="/word/media/rId35.png" ContentType="image/png"/>
  <Override PartName="/word/media/rId39.png" ContentType="image/png"/>
  <Override PartName="/word/media/rId43.png" ContentType="image/png"/>
  <Override PartName="/word/media/rId47.png" ContentType="image/png"/>
  <Override PartName="/word/media/rId50.png" ContentType="image/png"/>
  <Override PartName="/word/media/rId53.png" ContentType="image/png"/>
  <Override PartName="/word/media/rId57.png" ContentType="image/png"/>
  <Override PartName="/word/media/rId60.png" ContentType="image/png"/>
  <Override PartName="/word/media/rId64.png" ContentType="image/png"/>
  <Override PartName="/word/media/rId68.png" ContentType="image/png"/>
  <Override PartName="/word/media/rId7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Importing</w:t>
      </w:r>
      <w:r>
        <w:t xml:space="preserve"> </w:t>
      </w:r>
      <w:r>
        <w:t xml:space="preserve">a</w:t>
      </w:r>
      <w:r>
        <w:t xml:space="preserve"> </w:t>
      </w:r>
      <w:r>
        <w:t xml:space="preserve">Hierarchy</w:t>
      </w:r>
      <w:r>
        <w:t xml:space="preserve"> </w:t>
      </w:r>
      <w:r>
        <w:t xml:space="preserve">from</w:t>
      </w:r>
      <w:r>
        <w:t xml:space="preserve"> </w:t>
      </w:r>
      <w:r>
        <w:t xml:space="preserve">CSV</w:t>
      </w:r>
    </w:p>
    <w:p>
      <w:pPr>
        <w:pStyle w:val="Subtitle"/>
      </w:pPr>
      <w:r>
        <w:t xml:space="preserve">Step-by-step</w:t>
      </w:r>
      <w:r>
        <w:t xml:space="preserve"> </w:t>
      </w:r>
      <w:r>
        <w:t xml:space="preserve">guide</w:t>
      </w:r>
      <w:r>
        <w:t xml:space="preserve"> </w:t>
      </w:r>
      <w:r>
        <w:t xml:space="preserve">to</w:t>
      </w:r>
      <w:r>
        <w:t xml:space="preserve"> </w:t>
      </w:r>
      <w:r>
        <w:t xml:space="preserve">building</w:t>
      </w:r>
      <w:r>
        <w:t xml:space="preserve"> </w:t>
      </w:r>
      <w:r>
        <w:t xml:space="preserve">a</w:t>
      </w:r>
      <w:r>
        <w:t xml:space="preserve"> </w:t>
      </w:r>
      <w:r>
        <w:t xml:space="preserve">fonds,</w:t>
      </w:r>
      <w:r>
        <w:t xml:space="preserve"> </w:t>
      </w:r>
      <w:r>
        <w:t xml:space="preserve">its</w:t>
      </w:r>
      <w:r>
        <w:t xml:space="preserve"> </w:t>
      </w:r>
      <w:r>
        <w:t xml:space="preserve">series,</w:t>
      </w:r>
      <w:r>
        <w:t xml:space="preserve"> </w:t>
      </w:r>
      <w:r>
        <w:t xml:space="preserve">files</w:t>
      </w:r>
      <w:r>
        <w:t xml:space="preserve"> </w:t>
      </w:r>
      <w:r>
        <w:t xml:space="preserve">and</w:t>
      </w:r>
      <w:r>
        <w:t xml:space="preserve"> </w:t>
      </w:r>
      <w:r>
        <w:t xml:space="preserve">items</w:t>
      </w:r>
      <w:r>
        <w:t xml:space="preserve"> </w:t>
      </w:r>
      <w:r>
        <w:t xml:space="preserve">from</w:t>
      </w:r>
      <w:r>
        <w:t xml:space="preserve"> </w:t>
      </w:r>
      <w:r>
        <w:t xml:space="preserve">one</w:t>
      </w:r>
      <w:r>
        <w:t xml:space="preserve"> </w:t>
      </w:r>
      <w:r>
        <w:t xml:space="preserve">CSV</w:t>
      </w:r>
      <w:r>
        <w:t xml:space="preserve"> </w:t>
      </w:r>
      <w:r>
        <w:t xml:space="preserve">file</w:t>
      </w:r>
      <w:r>
        <w:t xml:space="preserve"> </w:t>
      </w:r>
      <w:r>
        <w:t xml:space="preserve">with</w:t>
      </w:r>
      <w:r>
        <w:t xml:space="preserve"> </w:t>
      </w:r>
      <w:r>
        <w:t xml:space="preserve">Data</w:t>
      </w:r>
      <w:r>
        <w:t xml:space="preserve"> </w:t>
      </w:r>
      <w:r>
        <w:t xml:space="preserve">Ingest</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auto" w:w="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Importing a Hierarchy from CSV</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9 October 2026</w:t>
            </w:r>
          </w:p>
        </w:tc>
      </w:tr>
      <w:tr>
        <w:tc>
          <w:tcPr/>
          <w:p>
            <w:pPr>
              <w:pStyle w:val="Compact"/>
              <w:jc w:val="left"/>
            </w:pPr>
            <w:r>
              <w:t xml:space="preserve">Prepared for</w:t>
            </w:r>
          </w:p>
        </w:tc>
        <w:tc>
          <w:tcPr/>
          <w:p>
            <w:pPr>
              <w:pStyle w:val="Compact"/>
              <w:jc w:val="left"/>
            </w:pPr>
            <w:r>
              <w:t xml:space="preserve">AtoM users of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AHG-TRN-INGEST-01</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the training video of the same name (</w:t>
      </w:r>
      <w:hyperlink r:id="rId20">
        <w:r>
          <w:rPr>
            <w:rStyle w:val="Hyperlink"/>
          </w:rPr>
          <w:t xml:space="preserve">watch on YouTube</w:t>
        </w:r>
      </w:hyperlink>
      <w:r>
        <w:t xml:space="preserve">). It takes you through one complete import: a small fonds with two series, three files and an item, built from a single CSV file. You make one deliberate mistake on the way and fix it, so that you know what to do when it happens with your own data.</w:t>
      </w:r>
    </w:p>
    <w:p>
      <w:pPr>
        <w:pStyle w:val="BodyText"/>
      </w:pPr>
      <w:r>
        <w:t xml:space="preserve">Allow about 20 minutes to work through it with the practice file.</w:t>
      </w:r>
    </w:p>
    <w:bookmarkStart w:id="21" w:name="before-you-start"/>
    <w:p>
      <w:pPr>
        <w:pStyle w:val="Heading2"/>
      </w:pPr>
      <w:r>
        <w:t xml:space="preserve">Before you start</w:t>
      </w:r>
    </w:p>
    <w:p>
      <w:pPr>
        <w:pStyle w:val="FirstParagraph"/>
      </w:pPr>
      <w:r>
        <w:t xml:space="preserve">You need three things.</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Where to check</w:t>
            </w:r>
          </w:p>
        </w:tc>
      </w:tr>
      <w:tr>
        <w:tc>
          <w:tcPr/>
          <w:p>
            <w:pPr>
              <w:pStyle w:val="Compact"/>
              <w:jc w:val="left"/>
            </w:pPr>
            <w:r>
              <w:t xml:space="preserve">An administrator account</w:t>
            </w:r>
          </w:p>
        </w:tc>
        <w:tc>
          <w:tcPr/>
          <w:p>
            <w:pPr>
              <w:pStyle w:val="Compact"/>
              <w:jc w:val="left"/>
            </w:pPr>
            <w:r>
              <w:t xml:space="preserve">The AHG Plugins menu (the stacked cubes icon in the top bar) only appears for administrators.</w:t>
            </w:r>
          </w:p>
        </w:tc>
      </w:tr>
      <w:tr>
        <w:tc>
          <w:tcPr/>
          <w:p>
            <w:pPr>
              <w:pStyle w:val="Compact"/>
              <w:jc w:val="left"/>
            </w:pPr>
            <w:r>
              <w:t xml:space="preserve">Data Ingest enabled</w:t>
            </w:r>
          </w:p>
        </w:tc>
        <w:tc>
          <w:tcPr/>
          <w:p>
            <w:pPr>
              <w:pStyle w:val="Compact"/>
              <w:jc w:val="left"/>
            </w:pPr>
            <w:r>
              <w:t xml:space="preserve">AHG Plugins menu &gt; Data Ingest section. If the section is missing, ask your system administrator to enable ahgIngestPlugin.</w:t>
            </w:r>
          </w:p>
        </w:tc>
      </w:tr>
      <w:tr>
        <w:tc>
          <w:tcPr/>
          <w:p>
            <w:pPr>
              <w:pStyle w:val="Compact"/>
              <w:jc w:val="left"/>
            </w:pPr>
            <w:r>
              <w:t xml:space="preserve">The practice file</w:t>
            </w:r>
          </w:p>
        </w:tc>
        <w:tc>
          <w:tcPr/>
          <w:p>
            <w:pPr>
              <w:pStyle w:val="Compact"/>
              <w:jc w:val="left"/>
            </w:pPr>
            <w:r>
              <w:rPr>
                <w:rStyle w:val="VerbatimChar"/>
              </w:rPr>
              <w:t xml:space="preserve">groenkloof-farm-records-practice.csv</w:t>
            </w:r>
            <w:r>
              <w:t xml:space="preserve">, in</w:t>
            </w:r>
            <w:r>
              <w:t xml:space="preserve"> </w:t>
            </w:r>
            <w:r>
              <w:rPr>
                <w:rStyle w:val="VerbatimChar"/>
              </w:rPr>
              <w:t xml:space="preserve">docs/training-files/</w:t>
            </w:r>
            <w:r>
              <w:t xml:space="preserve"> </w:t>
            </w:r>
            <w:r>
              <w:t xml:space="preserve">of the AHG extensions catalogue.</w:t>
            </w:r>
          </w:p>
        </w:tc>
      </w:tr>
    </w:tbl>
    <w:p>
      <w:pPr>
        <w:pStyle w:val="BodyText"/>
      </w:pPr>
      <w:r>
        <w:t xml:space="preserve">Use a test or training instance if you have one. The import creates real records; you can delete them afterwards (see</w:t>
      </w:r>
      <w:r>
        <w:t xml:space="preserve"> </w:t>
      </w:r>
      <w:r>
        <w:t xml:space="preserve">“</w:t>
      </w:r>
      <w:r>
        <w:t xml:space="preserve">Cleaning up</w:t>
      </w:r>
      <w:r>
        <w:t xml:space="preserve">”</w:t>
      </w:r>
      <w:r>
        <w:t xml:space="preserve">).</w:t>
      </w:r>
    </w:p>
    <w:bookmarkEnd w:id="21"/>
    <w:bookmarkStart w:id="28" w:name="prepare-the-csv"/>
    <w:p>
      <w:pPr>
        <w:pStyle w:val="Heading2"/>
      </w:pPr>
      <w:r>
        <w:t xml:space="preserve">1. Prepare the CSV</w:t>
      </w:r>
    </w:p>
    <w:p>
      <w:pPr>
        <w:pStyle w:val="FirstParagraph"/>
      </w:pPr>
      <w:r>
        <w:t xml:space="preserve">Open the practice file in Excel, LibreOffice Calc or any spreadsheet.</w:t>
      </w:r>
    </w:p>
    <w:p>
      <w:pPr>
        <w:pStyle w:val="BodyText"/>
      </w:pPr>
      <w:r>
        <w:t xml:space="preserve">The first row holds the column names. They must be spelt exactly as AtoM spells them, including capitals, because that is how Data Ingest recognises each column. The practice file uses these:</w:t>
      </w:r>
    </w:p>
    <w:p>
      <w:pPr>
        <w:pStyle w:val="TableCaption"/>
      </w:pPr>
      <w:r>
        <w:t xml:space="preserve">Columns in the practice file</w:t>
      </w:r>
    </w:p>
    <w:tbl>
      <w:tblPr>
        <w:tblStyle w:val="Table"/>
        <w:tblW w:type="pct" w:w="5000"/>
        <w:tblLook w:firstRow="1" w:lastRow="0" w:firstColumn="0" w:lastColumn="0" w:noHBand="0" w:noVBand="0" w:val="0020"/>
        <w:jc w:val="start"/>
        <w:tblCaption w:val="Columns in the practice file"/>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What it holds</w:t>
            </w:r>
          </w:p>
        </w:tc>
        <w:tc>
          <w:tcPr/>
          <w:p>
            <w:pPr>
              <w:pStyle w:val="Compact"/>
              <w:jc w:val="left"/>
            </w:pPr>
            <w:r>
              <w:t xml:space="preserve">Required</w:t>
            </w:r>
          </w:p>
        </w:tc>
      </w:tr>
      <w:tr>
        <w:tc>
          <w:tcPr/>
          <w:p>
            <w:pPr>
              <w:pStyle w:val="Compact"/>
              <w:jc w:val="left"/>
            </w:pPr>
            <w:r>
              <w:t xml:space="preserve">legacyId</w:t>
            </w:r>
          </w:p>
        </w:tc>
        <w:tc>
          <w:tcPr/>
          <w:p>
            <w:pPr>
              <w:pStyle w:val="Compact"/>
              <w:jc w:val="left"/>
            </w:pPr>
            <w:r>
              <w:t xml:space="preserve">A short name for this row, unique in the file</w:t>
            </w:r>
          </w:p>
        </w:tc>
        <w:tc>
          <w:tcPr/>
          <w:p>
            <w:pPr>
              <w:pStyle w:val="Compact"/>
              <w:jc w:val="left"/>
            </w:pPr>
            <w:r>
              <w:t xml:space="preserve">Yes, for a hierarchy</w:t>
            </w:r>
          </w:p>
        </w:tc>
      </w:tr>
      <w:tr>
        <w:tc>
          <w:tcPr/>
          <w:p>
            <w:pPr>
              <w:pStyle w:val="Compact"/>
              <w:jc w:val="left"/>
            </w:pPr>
            <w:r>
              <w:t xml:space="preserve">parentId</w:t>
            </w:r>
          </w:p>
        </w:tc>
        <w:tc>
          <w:tcPr/>
          <w:p>
            <w:pPr>
              <w:pStyle w:val="Compact"/>
              <w:jc w:val="left"/>
            </w:pPr>
            <w:r>
              <w:t xml:space="preserve">The legacyId of the row this one sits under; empty for the top</w:t>
            </w:r>
          </w:p>
        </w:tc>
        <w:tc>
          <w:tcPr/>
          <w:p>
            <w:pPr>
              <w:pStyle w:val="Compact"/>
              <w:jc w:val="left"/>
            </w:pPr>
            <w:r>
              <w:t xml:space="preserve">Yes, for a hierarchy</w:t>
            </w:r>
          </w:p>
        </w:tc>
      </w:tr>
      <w:tr>
        <w:tc>
          <w:tcPr/>
          <w:p>
            <w:pPr>
              <w:pStyle w:val="Compact"/>
              <w:jc w:val="left"/>
            </w:pPr>
            <w:r>
              <w:t xml:space="preserve">identifier</w:t>
            </w:r>
          </w:p>
        </w:tc>
        <w:tc>
          <w:tcPr/>
          <w:p>
            <w:pPr>
              <w:pStyle w:val="Compact"/>
              <w:jc w:val="left"/>
            </w:pPr>
            <w:r>
              <w:t xml:space="preserve">The reference code segment</w:t>
            </w:r>
          </w:p>
        </w:tc>
        <w:tc>
          <w:tcPr/>
          <w:p>
            <w:pPr>
              <w:pStyle w:val="Compact"/>
              <w:jc w:val="left"/>
            </w:pPr>
            <w:r>
              <w:t xml:space="preserve">Recommended</w:t>
            </w:r>
          </w:p>
        </w:tc>
      </w:tr>
      <w:tr>
        <w:tc>
          <w:tcPr/>
          <w:p>
            <w:pPr>
              <w:pStyle w:val="Compact"/>
              <w:jc w:val="left"/>
            </w:pPr>
            <w:r>
              <w:t xml:space="preserve">title</w:t>
            </w:r>
          </w:p>
        </w:tc>
        <w:tc>
          <w:tcPr/>
          <w:p>
            <w:pPr>
              <w:pStyle w:val="Compact"/>
              <w:jc w:val="left"/>
            </w:pPr>
            <w:r>
              <w:t xml:space="preserve">The title of the description</w:t>
            </w:r>
          </w:p>
        </w:tc>
        <w:tc>
          <w:tcPr/>
          <w:p>
            <w:pPr>
              <w:pStyle w:val="Compact"/>
              <w:jc w:val="left"/>
            </w:pPr>
            <w:r>
              <w:t xml:space="preserve">Yes</w:t>
            </w:r>
          </w:p>
        </w:tc>
      </w:tr>
      <w:tr>
        <w:tc>
          <w:tcPr/>
          <w:p>
            <w:pPr>
              <w:pStyle w:val="Compact"/>
              <w:jc w:val="left"/>
            </w:pPr>
            <w:r>
              <w:t xml:space="preserve">levelOfDescription</w:t>
            </w:r>
          </w:p>
        </w:tc>
        <w:tc>
          <w:tcPr/>
          <w:p>
            <w:pPr>
              <w:pStyle w:val="Compact"/>
              <w:jc w:val="left"/>
            </w:pPr>
            <w:r>
              <w:t xml:space="preserve">Fonds, Series, File, Item and so on</w:t>
            </w:r>
          </w:p>
        </w:tc>
        <w:tc>
          <w:tcPr/>
          <w:p>
            <w:pPr>
              <w:pStyle w:val="Compact"/>
              <w:jc w:val="left"/>
            </w:pPr>
            <w:r>
              <w:t xml:space="preserve">Yes</w:t>
            </w:r>
          </w:p>
        </w:tc>
      </w:tr>
      <w:tr>
        <w:tc>
          <w:tcPr/>
          <w:p>
            <w:pPr>
              <w:pStyle w:val="Compact"/>
              <w:jc w:val="left"/>
            </w:pPr>
            <w:r>
              <w:t xml:space="preserve">creationDates</w:t>
            </w:r>
          </w:p>
        </w:tc>
        <w:tc>
          <w:tcPr/>
          <w:p>
            <w:pPr>
              <w:pStyle w:val="Compact"/>
              <w:jc w:val="left"/>
            </w:pPr>
            <w:r>
              <w:t xml:space="preserve">Display date, free text</w:t>
            </w:r>
          </w:p>
        </w:tc>
        <w:tc>
          <w:tcPr/>
          <w:p>
            <w:pPr>
              <w:pStyle w:val="Compact"/>
              <w:jc w:val="left"/>
            </w:pPr>
            <w:r>
              <w:t xml:space="preserve">No</w:t>
            </w:r>
          </w:p>
        </w:tc>
      </w:tr>
      <w:tr>
        <w:tc>
          <w:tcPr/>
          <w:p>
            <w:pPr>
              <w:pStyle w:val="Compact"/>
              <w:jc w:val="left"/>
            </w:pPr>
            <w:r>
              <w:t xml:space="preserve">creationDatesStart</w:t>
            </w:r>
          </w:p>
        </w:tc>
        <w:tc>
          <w:tcPr/>
          <w:p>
            <w:pPr>
              <w:pStyle w:val="Compact"/>
              <w:jc w:val="left"/>
            </w:pPr>
            <w:r>
              <w:t xml:space="preserve">Start date, YYYY or YYYY-MM or YYYY-MM-DD</w:t>
            </w:r>
          </w:p>
        </w:tc>
        <w:tc>
          <w:tcPr/>
          <w:p>
            <w:pPr>
              <w:pStyle w:val="Compact"/>
              <w:jc w:val="left"/>
            </w:pPr>
            <w:r>
              <w:t xml:space="preserve">No</w:t>
            </w:r>
          </w:p>
        </w:tc>
      </w:tr>
      <w:tr>
        <w:tc>
          <w:tcPr/>
          <w:p>
            <w:pPr>
              <w:pStyle w:val="Compact"/>
              <w:jc w:val="left"/>
            </w:pPr>
            <w:r>
              <w:t xml:space="preserve">creationDatesEnd</w:t>
            </w:r>
          </w:p>
        </w:tc>
        <w:tc>
          <w:tcPr/>
          <w:p>
            <w:pPr>
              <w:pStyle w:val="Compact"/>
              <w:jc w:val="left"/>
            </w:pPr>
            <w:r>
              <w:t xml:space="preserve">End date, same formats</w:t>
            </w:r>
          </w:p>
        </w:tc>
        <w:tc>
          <w:tcPr/>
          <w:p>
            <w:pPr>
              <w:pStyle w:val="Compact"/>
              <w:jc w:val="left"/>
            </w:pPr>
            <w:r>
              <w:t xml:space="preserve">No</w:t>
            </w:r>
          </w:p>
        </w:tc>
      </w:tr>
      <w:tr>
        <w:tc>
          <w:tcPr/>
          <w:p>
            <w:pPr>
              <w:pStyle w:val="Compact"/>
              <w:jc w:val="left"/>
            </w:pPr>
            <w:r>
              <w:t xml:space="preserve">extentAndMedium</w:t>
            </w:r>
          </w:p>
        </w:tc>
        <w:tc>
          <w:tcPr/>
          <w:p>
            <w:pPr>
              <w:pStyle w:val="Compact"/>
              <w:jc w:val="left"/>
            </w:pPr>
            <w:r>
              <w:t xml:space="preserve">Extent and medium</w:t>
            </w:r>
          </w:p>
        </w:tc>
        <w:tc>
          <w:tcPr/>
          <w:p>
            <w:pPr>
              <w:pStyle w:val="Compact"/>
              <w:jc w:val="left"/>
            </w:pPr>
            <w:r>
              <w:t xml:space="preserve">No</w:t>
            </w:r>
          </w:p>
        </w:tc>
      </w:tr>
    </w:tbl>
    <w:p>
      <w:pPr>
        <w:pStyle w:val="CaptionedFigure"/>
      </w:pPr>
      <w:r>
        <w:drawing>
          <wp:inline>
            <wp:extent cx="5778500" cy="3250406"/>
            <wp:effectExtent b="0" l="0" r="0" t="0"/>
            <wp:docPr descr="The fonds row: its parentId is empty because nothing sits above it." title="" id="23" name="Picture"/>
            <a:graphic>
              <a:graphicData uri="http://schemas.openxmlformats.org/drawingml/2006/picture">
                <pic:pic>
                  <pic:nvPicPr>
                    <pic:cNvPr descr="images/training-hierarchical-csv/01-csv-fonds.png" id="24" name="Picture"/>
                    <pic:cNvPicPr>
                      <a:picLocks noChangeArrowheads="1" noChangeAspect="1"/>
                    </pic:cNvPicPr>
                  </pic:nvPicPr>
                  <pic:blipFill>
                    <a:blip r:embed="rId2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fonds row: its parentId is empty because nothing sits above it.</w:t>
      </w:r>
    </w:p>
    <w:p>
      <w:pPr>
        <w:pStyle w:val="BodyText"/>
      </w:pPr>
      <w:r>
        <w:t xml:space="preserve">How the hierarchy works:</w:t>
      </w:r>
    </w:p>
    <w:p>
      <w:pPr>
        <w:numPr>
          <w:ilvl w:val="0"/>
          <w:numId w:val="1001"/>
        </w:numPr>
        <w:pStyle w:val="Compact"/>
      </w:pPr>
      <w:r>
        <w:t xml:space="preserve">The fonds (row 2) has an empty parentId.</w:t>
      </w:r>
    </w:p>
    <w:p>
      <w:pPr>
        <w:numPr>
          <w:ilvl w:val="0"/>
          <w:numId w:val="1001"/>
        </w:numPr>
        <w:pStyle w:val="Compact"/>
      </w:pPr>
      <w:r>
        <w:t xml:space="preserve">The Accounts series (row 3) has parentId</w:t>
      </w:r>
      <w:r>
        <w:t xml:space="preserve"> </w:t>
      </w:r>
      <w:r>
        <w:rPr>
          <w:rStyle w:val="VerbatimChar"/>
        </w:rPr>
        <w:t xml:space="preserve">GF</w:t>
      </w:r>
      <w:r>
        <w:t xml:space="preserve">, the legacyId of the fonds.</w:t>
      </w:r>
    </w:p>
    <w:p>
      <w:pPr>
        <w:numPr>
          <w:ilvl w:val="0"/>
          <w:numId w:val="1001"/>
        </w:numPr>
        <w:pStyle w:val="Compact"/>
      </w:pPr>
      <w:r>
        <w:t xml:space="preserve">Rows do not have to be in order. The rent receipt (row 4) points to</w:t>
      </w:r>
      <w:r>
        <w:t xml:space="preserve"> </w:t>
      </w:r>
      <w:r>
        <w:rPr>
          <w:rStyle w:val="VerbatimChar"/>
        </w:rPr>
        <w:t xml:space="preserve">GF-A1</w:t>
      </w:r>
      <w:r>
        <w:t xml:space="preserve">, a file that only appears on row 5. Data Ingest creates parents first whatever the order of the file.</w:t>
      </w:r>
    </w:p>
    <w:p>
      <w:pPr>
        <w:numPr>
          <w:ilvl w:val="0"/>
          <w:numId w:val="1001"/>
        </w:numPr>
        <w:pStyle w:val="Compact"/>
      </w:pPr>
      <w:r>
        <w:t xml:space="preserve">The remaining rows follow the same pattern.</w:t>
      </w:r>
    </w:p>
    <w:p>
      <w:pPr>
        <w:pStyle w:val="CaptionedFigure"/>
      </w:pPr>
      <w:r>
        <w:drawing>
          <wp:inline>
            <wp:extent cx="5778500" cy="3250406"/>
            <wp:effectExtent b="0" l="0" r="0" t="0"/>
            <wp:docPr descr="Row 8 has a deliberate mistake: its parentId is GF-G, which does not exist." title="" id="26" name="Picture"/>
            <a:graphic>
              <a:graphicData uri="http://schemas.openxmlformats.org/drawingml/2006/picture">
                <pic:pic>
                  <pic:nvPicPr>
                    <pic:cNvPr descr="images/training-hierarchical-csv/02-csv-mistake.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Row 8 has a deliberate mistake: its parentId is GF-G, which does not exist.</w:t>
      </w:r>
    </w:p>
    <w:p>
      <w:pPr>
        <w:pStyle w:val="BodyText"/>
      </w:pPr>
      <w:r>
        <w:t xml:space="preserve">Look at the last row. The letters belong under Correspondence (</w:t>
      </w:r>
      <w:r>
        <w:rPr>
          <w:rStyle w:val="VerbatimChar"/>
        </w:rPr>
        <w:t xml:space="preserve">GF-C</w:t>
      </w:r>
      <w:r>
        <w:t xml:space="preserve">), but the parentId says</w:t>
      </w:r>
      <w:r>
        <w:t xml:space="preserve"> </w:t>
      </w:r>
      <w:r>
        <w:rPr>
          <w:rStyle w:val="VerbatimChar"/>
        </w:rPr>
        <w:t xml:space="preserve">GF-G</w:t>
      </w:r>
      <w:r>
        <w:t xml:space="preserve">. Leave the mistake in for now; you fix it in step 5.</w:t>
      </w:r>
    </w:p>
    <w:p>
      <w:pPr>
        <w:pStyle w:val="BodyText"/>
      </w:pPr>
      <w:r>
        <w:t xml:space="preserve">Save the file as</w:t>
      </w:r>
      <w:r>
        <w:t xml:space="preserve"> </w:t>
      </w:r>
      <w:r>
        <w:rPr>
          <w:bCs/>
          <w:b/>
        </w:rPr>
        <w:t xml:space="preserve">CSV UTF-8 (comma delimited)</w:t>
      </w:r>
      <w:r>
        <w:t xml:space="preserve">. In Excel: File &gt; Save As &gt; CSV UTF-8. Other CSV types can garble accented characters.</w:t>
      </w:r>
    </w:p>
    <w:bookmarkEnd w:id="28"/>
    <w:bookmarkStart w:id="38" w:name="start-a-new-ingest"/>
    <w:p>
      <w:pPr>
        <w:pStyle w:val="Heading2"/>
      </w:pPr>
      <w:r>
        <w:t xml:space="preserve">2. Start a new ingest</w:t>
      </w:r>
    </w:p>
    <w:p>
      <w:pPr>
        <w:numPr>
          <w:ilvl w:val="0"/>
          <w:numId w:val="1002"/>
        </w:numPr>
        <w:pStyle w:val="Compact"/>
      </w:pPr>
      <w:r>
        <w:t xml:space="preserve">In the top bar, open the</w:t>
      </w:r>
      <w:r>
        <w:t xml:space="preserve"> </w:t>
      </w:r>
      <w:r>
        <w:rPr>
          <w:bCs/>
          <w:b/>
        </w:rPr>
        <w:t xml:space="preserve">AHG Plugins</w:t>
      </w:r>
      <w:r>
        <w:t xml:space="preserve"> </w:t>
      </w:r>
      <w:r>
        <w:t xml:space="preserve">menu (stacked cubes icon).</w:t>
      </w:r>
    </w:p>
    <w:p>
      <w:pPr>
        <w:numPr>
          <w:ilvl w:val="0"/>
          <w:numId w:val="1002"/>
        </w:numPr>
        <w:pStyle w:val="Compact"/>
      </w:pPr>
      <w:r>
        <w:t xml:space="preserve">Under</w:t>
      </w:r>
      <w:r>
        <w:t xml:space="preserve"> </w:t>
      </w:r>
      <w:r>
        <w:rPr>
          <w:bCs/>
          <w:b/>
        </w:rPr>
        <w:t xml:space="preserve">Data Ingest</w:t>
      </w:r>
      <w:r>
        <w:t xml:space="preserve">, choose</w:t>
      </w:r>
      <w:r>
        <w:t xml:space="preserve"> </w:t>
      </w:r>
      <w:r>
        <w:rPr>
          <w:bCs/>
          <w:b/>
        </w:rPr>
        <w:t xml:space="preserve">New Ingest</w:t>
      </w:r>
      <w:r>
        <w:t xml:space="preserve">.</w:t>
      </w:r>
    </w:p>
    <w:p>
      <w:pPr>
        <w:pStyle w:val="CaptionedFigure"/>
      </w:pPr>
      <w:r>
        <w:drawing>
          <wp:inline>
            <wp:extent cx="5778500" cy="3250406"/>
            <wp:effectExtent b="0" l="0" r="0" t="0"/>
            <wp:docPr descr="AHG Plugins menu &gt; Data Ingest &gt; New Ingest." title="" id="30" name="Picture"/>
            <a:graphic>
              <a:graphicData uri="http://schemas.openxmlformats.org/drawingml/2006/picture">
                <pic:pic>
                  <pic:nvPicPr>
                    <pic:cNvPr descr="images/training-hierarchical-csv/03-menu.png" id="31" name="Picture"/>
                    <pic:cNvPicPr>
                      <a:picLocks noChangeArrowheads="1" noChangeAspect="1"/>
                    </pic:cNvPicPr>
                  </pic:nvPicPr>
                  <pic:blipFill>
                    <a:blip r:embed="rId2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AHG Plugins menu &gt; Data Ingest &gt; New Ingest.</w:t>
      </w:r>
    </w:p>
    <w:p>
      <w:pPr>
        <w:numPr>
          <w:ilvl w:val="0"/>
          <w:numId w:val="1003"/>
        </w:numPr>
        <w:pStyle w:val="Compact"/>
      </w:pPr>
      <w:r>
        <w:t xml:space="preserve">Enter a</w:t>
      </w:r>
      <w:r>
        <w:t xml:space="preserve"> </w:t>
      </w:r>
      <w:r>
        <w:rPr>
          <w:bCs/>
          <w:b/>
        </w:rPr>
        <w:t xml:space="preserve">Session Title</w:t>
      </w:r>
      <w:r>
        <w:t xml:space="preserve"> </w:t>
      </w:r>
      <w:r>
        <w:t xml:space="preserve">you will recognise later on the Ingest Dashboard, for example</w:t>
      </w:r>
      <w:r>
        <w:t xml:space="preserve"> </w:t>
      </w:r>
      <w:r>
        <w:t xml:space="preserve">“</w:t>
      </w:r>
      <w:r>
        <w:t xml:space="preserve">Groenkloof Farm Records - training</w:t>
      </w:r>
      <w:r>
        <w:t xml:space="preserve">”</w:t>
      </w:r>
      <w:r>
        <w:t xml:space="preserve">.</w:t>
      </w:r>
    </w:p>
    <w:p>
      <w:pPr>
        <w:numPr>
          <w:ilvl w:val="0"/>
          <w:numId w:val="1003"/>
        </w:numPr>
        <w:pStyle w:val="Compact"/>
      </w:pPr>
      <w:r>
        <w:t xml:space="preserve">Leave</w:t>
      </w:r>
      <w:r>
        <w:t xml:space="preserve"> </w:t>
      </w:r>
      <w:r>
        <w:rPr>
          <w:bCs/>
          <w:b/>
        </w:rPr>
        <w:t xml:space="preserve">Record Type</w:t>
      </w:r>
      <w:r>
        <w:t xml:space="preserve"> </w:t>
      </w:r>
      <w:r>
        <w:t xml:space="preserve">on Archival Descriptions.</w:t>
      </w:r>
    </w:p>
    <w:p>
      <w:pPr>
        <w:numPr>
          <w:ilvl w:val="0"/>
          <w:numId w:val="1003"/>
        </w:numPr>
        <w:pStyle w:val="Compact"/>
      </w:pPr>
      <w:r>
        <w:t xml:space="preserve">Choose the</w:t>
      </w:r>
      <w:r>
        <w:t xml:space="preserve"> </w:t>
      </w:r>
      <w:r>
        <w:rPr>
          <w:bCs/>
          <w:b/>
        </w:rPr>
        <w:t xml:space="preserve">Sector</w:t>
      </w:r>
      <w:r>
        <w:t xml:space="preserve"> </w:t>
      </w:r>
      <w:r>
        <w:t xml:space="preserve">(Archive) and the</w:t>
      </w:r>
      <w:r>
        <w:t xml:space="preserve"> </w:t>
      </w:r>
      <w:r>
        <w:rPr>
          <w:bCs/>
          <w:b/>
        </w:rPr>
        <w:t xml:space="preserve">Descriptive Standard</w:t>
      </w:r>
      <w:r>
        <w:t xml:space="preserve"> </w:t>
      </w:r>
      <w:r>
        <w:t xml:space="preserve">(ISAD(G)).</w:t>
      </w:r>
    </w:p>
    <w:p>
      <w:pPr>
        <w:numPr>
          <w:ilvl w:val="0"/>
          <w:numId w:val="1003"/>
        </w:numPr>
        <w:pStyle w:val="Compact"/>
      </w:pPr>
      <w:r>
        <w:t xml:space="preserve">Choose the</w:t>
      </w:r>
      <w:r>
        <w:t xml:space="preserve"> </w:t>
      </w:r>
      <w:r>
        <w:rPr>
          <w:bCs/>
          <w:b/>
        </w:rPr>
        <w:t xml:space="preserve">Repository</w:t>
      </w:r>
      <w:r>
        <w:t xml:space="preserve"> </w:t>
      </w:r>
      <w:r>
        <w:t xml:space="preserve">that will hold the records.</w:t>
      </w:r>
    </w:p>
    <w:p>
      <w:pPr>
        <w:pStyle w:val="CaptionedFigure"/>
      </w:pPr>
      <w:r>
        <w:drawing>
          <wp:inline>
            <wp:extent cx="5778500" cy="3250406"/>
            <wp:effectExtent b="0" l="0" r="0" t="0"/>
            <wp:docPr descr="Ingest Settings with sector, standard and repository chosen." title="" id="33" name="Picture"/>
            <a:graphic>
              <a:graphicData uri="http://schemas.openxmlformats.org/drawingml/2006/picture">
                <pic:pic>
                  <pic:nvPicPr>
                    <pic:cNvPr descr="images/training-hierarchical-csv/04-configure.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Ingest Settings with sector, standard and repository chosen.</w:t>
      </w:r>
    </w:p>
    <w:p>
      <w:pPr>
        <w:numPr>
          <w:ilvl w:val="0"/>
          <w:numId w:val="1004"/>
        </w:numPr>
        <w:pStyle w:val="Compact"/>
      </w:pPr>
      <w:r>
        <w:t xml:space="preserve">Under</w:t>
      </w:r>
      <w:r>
        <w:t xml:space="preserve"> </w:t>
      </w:r>
      <w:r>
        <w:rPr>
          <w:bCs/>
          <w:b/>
        </w:rPr>
        <w:t xml:space="preserve">Hierarchy Placement</w:t>
      </w:r>
      <w:r>
        <w:t xml:space="preserve">, choose</w:t>
      </w:r>
      <w:r>
        <w:t xml:space="preserve"> </w:t>
      </w:r>
      <w:r>
        <w:rPr>
          <w:bCs/>
          <w:b/>
        </w:rPr>
        <w:t xml:space="preserve">Use hierarchy from CSV (legacyId/parentId)</w:t>
      </w:r>
      <w:r>
        <w:t xml:space="preserve">. This is the important choice:</w:t>
      </w:r>
      <w:r>
        <w:t xml:space="preserve"> </w:t>
      </w:r>
      <w:r>
        <w:t xml:space="preserve">“</w:t>
      </w:r>
      <w:r>
        <w:t xml:space="preserve">Top-level</w:t>
      </w:r>
      <w:r>
        <w:t xml:space="preserve">”</w:t>
      </w:r>
      <w:r>
        <w:t xml:space="preserve"> </w:t>
      </w:r>
      <w:r>
        <w:t xml:space="preserve">would put every row directly at the top of the tree.</w:t>
      </w:r>
    </w:p>
    <w:p>
      <w:pPr>
        <w:pStyle w:val="CaptionedFigure"/>
      </w:pPr>
      <w:r>
        <w:drawing>
          <wp:inline>
            <wp:extent cx="5778500" cy="3250406"/>
            <wp:effectExtent b="0" l="0" r="0" t="0"/>
            <wp:docPr descr="Hierarchy Placement: Use hierarchy from CSV." title="" id="36" name="Picture"/>
            <a:graphic>
              <a:graphicData uri="http://schemas.openxmlformats.org/drawingml/2006/picture">
                <pic:pic>
                  <pic:nvPicPr>
                    <pic:cNvPr descr="images/training-hierarchical-csv/05-placement.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Hierarchy Placement: Use hierarchy from CSV.</w:t>
      </w:r>
    </w:p>
    <w:p>
      <w:pPr>
        <w:numPr>
          <w:ilvl w:val="0"/>
          <w:numId w:val="1005"/>
        </w:numPr>
        <w:pStyle w:val="Compact"/>
      </w:pPr>
      <w:r>
        <w:t xml:space="preserve">Leave the output and processing options as they are and click</w:t>
      </w:r>
      <w:r>
        <w:t xml:space="preserve"> </w:t>
      </w:r>
      <w:r>
        <w:rPr>
          <w:bCs/>
          <w:b/>
        </w:rPr>
        <w:t xml:space="preserve">Next: Upload Files</w:t>
      </w:r>
      <w:r>
        <w:t xml:space="preserve">.</w:t>
      </w:r>
    </w:p>
    <w:bookmarkEnd w:id="38"/>
    <w:bookmarkStart w:id="42" w:name="upload-the-file"/>
    <w:p>
      <w:pPr>
        <w:pStyle w:val="Heading2"/>
      </w:pPr>
      <w:r>
        <w:t xml:space="preserve">3. Upload the file</w:t>
      </w:r>
    </w:p>
    <w:p>
      <w:pPr>
        <w:pStyle w:val="FirstParagraph"/>
      </w:pPr>
      <w:r>
        <w:t xml:space="preserve">Click</w:t>
      </w:r>
      <w:r>
        <w:t xml:space="preserve"> </w:t>
      </w:r>
      <w:r>
        <w:rPr>
          <w:bCs/>
          <w:b/>
        </w:rPr>
        <w:t xml:space="preserve">Choose File</w:t>
      </w:r>
      <w:r>
        <w:t xml:space="preserve">, select your CSV and click</w:t>
      </w:r>
      <w:r>
        <w:t xml:space="preserve"> </w:t>
      </w:r>
      <w:r>
        <w:rPr>
          <w:bCs/>
          <w:b/>
        </w:rPr>
        <w:t xml:space="preserve">Upload</w:t>
      </w:r>
      <w:r>
        <w:t xml:space="preserve">.</w:t>
      </w:r>
    </w:p>
    <w:p>
      <w:pPr>
        <w:pStyle w:val="CaptionedFigure"/>
      </w:pPr>
      <w:r>
        <w:drawing>
          <wp:inline>
            <wp:extent cx="5778500" cy="3250406"/>
            <wp:effectExtent b="0" l="0" r="0" t="0"/>
            <wp:docPr descr="Upload Files, with the practice file chosen." title="" id="40" name="Picture"/>
            <a:graphic>
              <a:graphicData uri="http://schemas.openxmlformats.org/drawingml/2006/picture">
                <pic:pic>
                  <pic:nvPicPr>
                    <pic:cNvPr descr="images/training-hierarchical-csv/06-upload.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Upload Files, with the practice file chosen.</w:t>
      </w:r>
    </w:p>
    <w:bookmarkEnd w:id="42"/>
    <w:bookmarkStart w:id="46" w:name="check-the-mapping"/>
    <w:p>
      <w:pPr>
        <w:pStyle w:val="Heading2"/>
      </w:pPr>
      <w:r>
        <w:t xml:space="preserve">4. Check the mapping</w:t>
      </w:r>
    </w:p>
    <w:p>
      <w:pPr>
        <w:pStyle w:val="FirstParagraph"/>
      </w:pPr>
      <w:r>
        <w:t xml:space="preserve">The Map step pairs each column in your file (Source Column) with a field in AtoM (Target Field). Because the practice file uses AtoM’s own column names, every column maps itself.</w:t>
      </w:r>
    </w:p>
    <w:p>
      <w:pPr>
        <w:pStyle w:val="BodyText"/>
      </w:pPr>
      <w:r>
        <w:t xml:space="preserve">Check that</w:t>
      </w:r>
      <w:r>
        <w:t xml:space="preserve"> </w:t>
      </w:r>
      <w:r>
        <w:rPr>
          <w:bCs/>
          <w:b/>
        </w:rPr>
        <w:t xml:space="preserve">legacyId</w:t>
      </w:r>
      <w:r>
        <w:t xml:space="preserve"> </w:t>
      </w:r>
      <w:r>
        <w:t xml:space="preserve">and</w:t>
      </w:r>
      <w:r>
        <w:t xml:space="preserve"> </w:t>
      </w:r>
      <w:r>
        <w:rPr>
          <w:bCs/>
          <w:b/>
        </w:rPr>
        <w:t xml:space="preserve">parentId</w:t>
      </w:r>
      <w:r>
        <w:t xml:space="preserve"> </w:t>
      </w:r>
      <w:r>
        <w:t xml:space="preserve">map to legacyId and parentId. A column that has not mapped is shown in red; choose its field from the list, or tick Ignore.</w:t>
      </w:r>
    </w:p>
    <w:p>
      <w:pPr>
        <w:pStyle w:val="CaptionedFigure"/>
      </w:pPr>
      <w:r>
        <w:drawing>
          <wp:inline>
            <wp:extent cx="5778500" cy="3250406"/>
            <wp:effectExtent b="0" l="0" r="0" t="0"/>
            <wp:docPr descr="Column Mapping: each column paired with its AtoM field." title="" id="44" name="Picture"/>
            <a:graphic>
              <a:graphicData uri="http://schemas.openxmlformats.org/drawingml/2006/picture">
                <pic:pic>
                  <pic:nvPicPr>
                    <pic:cNvPr descr="images/training-hierarchical-csv/07-map.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Column Mapping: each column paired with its AtoM field.</w:t>
      </w:r>
    </w:p>
    <w:p>
      <w:pPr>
        <w:pStyle w:val="BodyText"/>
      </w:pPr>
      <w:r>
        <w:t xml:space="preserve">Click</w:t>
      </w:r>
      <w:r>
        <w:t xml:space="preserve"> </w:t>
      </w:r>
      <w:r>
        <w:rPr>
          <w:bCs/>
          <w:b/>
        </w:rPr>
        <w:t xml:space="preserve">Save Mappings &amp; Validate</w:t>
      </w:r>
      <w:r>
        <w:t xml:space="preserve">.</w:t>
      </w:r>
    </w:p>
    <w:bookmarkEnd w:id="46"/>
    <w:bookmarkStart w:id="56" w:name="validate-and-fix-errors"/>
    <w:p>
      <w:pPr>
        <w:pStyle w:val="Heading2"/>
      </w:pPr>
      <w:r>
        <w:t xml:space="preserve">5. Validate and fix errors</w:t>
      </w:r>
    </w:p>
    <w:p>
      <w:pPr>
        <w:pStyle w:val="FirstParagraph"/>
      </w:pPr>
      <w:r>
        <w:t xml:space="preserve">Validation checks every row before anything is created. With the practice file, the summary shows 7 rows: 6 valid and 1 error.</w:t>
      </w:r>
    </w:p>
    <w:p>
      <w:pPr>
        <w:pStyle w:val="CaptionedFigure"/>
      </w:pPr>
      <w:r>
        <w:drawing>
          <wp:inline>
            <wp:extent cx="5778500" cy="3250406"/>
            <wp:effectExtent b="0" l="0" r="0" t="0"/>
            <wp:docPr descr="Validation Report: 6 valid, 1 error, and the issue on row 7." title="" id="48" name="Picture"/>
            <a:graphic>
              <a:graphicData uri="http://schemas.openxmlformats.org/drawingml/2006/picture">
                <pic:pic>
                  <pic:nvPicPr>
                    <pic:cNvPr descr="images/training-hierarchical-csv/08-validate.png" id="49" name="Picture"/>
                    <pic:cNvPicPr>
                      <a:picLocks noChangeArrowheads="1" noChangeAspect="1"/>
                    </pic:cNvPicPr>
                  </pic:nvPicPr>
                  <pic:blipFill>
                    <a:blip r:embed="rId4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Validation Report: 6 valid, 1 error, and the issue on row 7.</w:t>
      </w:r>
    </w:p>
    <w:p>
      <w:pPr>
        <w:pStyle w:val="BodyText"/>
      </w:pPr>
      <w:r>
        <w:t xml:space="preserve">The Issues table says what is wrong: row 7, field parentId,</w:t>
      </w:r>
      <w:r>
        <w:t xml:space="preserve"> </w:t>
      </w:r>
      <w:r>
        <w:t xml:space="preserve">“</w:t>
      </w:r>
      <w:r>
        <w:t xml:space="preserve">Parent reference</w:t>
      </w:r>
      <w:r>
        <w:t xml:space="preserve"> </w:t>
      </w:r>
      <w:r>
        <w:t xml:space="preserve">‘</w:t>
      </w:r>
      <w:r>
        <w:t xml:space="preserve">GF-G</w:t>
      </w:r>
      <w:r>
        <w:t xml:space="preserve">’</w:t>
      </w:r>
      <w:r>
        <w:t xml:space="preserve"> </w:t>
      </w:r>
      <w:r>
        <w:t xml:space="preserve">is neither a legacyId in this file nor the slug of an existing description</w:t>
      </w:r>
      <w:r>
        <w:t xml:space="preserve">”</w:t>
      </w:r>
      <w:r>
        <w:t xml:space="preserve">.</w:t>
      </w:r>
    </w:p>
    <w:p>
      <w:pPr>
        <w:pStyle w:val="BodyText"/>
      </w:pPr>
      <w:r>
        <w:t xml:space="preserve">Row numbers count data rows, so row 7 is the seventh row after the heading (row 8 in the spreadsheet).</w:t>
      </w:r>
    </w:p>
    <w:p>
      <w:pPr>
        <w:pStyle w:val="BodyText"/>
      </w:pPr>
      <w:r>
        <w:t xml:space="preserve">To fix it:</w:t>
      </w:r>
    </w:p>
    <w:p>
      <w:pPr>
        <w:numPr>
          <w:ilvl w:val="0"/>
          <w:numId w:val="1006"/>
        </w:numPr>
        <w:pStyle w:val="Compact"/>
      </w:pPr>
      <w:r>
        <w:t xml:space="preserve">Click</w:t>
      </w:r>
      <w:r>
        <w:t xml:space="preserve"> </w:t>
      </w:r>
      <w:r>
        <w:rPr>
          <w:bCs/>
          <w:b/>
        </w:rPr>
        <w:t xml:space="preserve">Fix</w:t>
      </w:r>
      <w:r>
        <w:t xml:space="preserve"> </w:t>
      </w:r>
      <w:r>
        <w:t xml:space="preserve">on the row.</w:t>
      </w:r>
    </w:p>
    <w:p>
      <w:pPr>
        <w:numPr>
          <w:ilvl w:val="0"/>
          <w:numId w:val="1006"/>
        </w:numPr>
        <w:pStyle w:val="Compact"/>
      </w:pPr>
      <w:r>
        <w:t xml:space="preserve">Enter the correct value,</w:t>
      </w:r>
      <w:r>
        <w:t xml:space="preserve"> </w:t>
      </w:r>
      <w:r>
        <w:rPr>
          <w:rStyle w:val="VerbatimChar"/>
        </w:rPr>
        <w:t xml:space="preserve">GF-C</w:t>
      </w:r>
      <w:r>
        <w:t xml:space="preserve">.</w:t>
      </w:r>
    </w:p>
    <w:p>
      <w:pPr>
        <w:numPr>
          <w:ilvl w:val="0"/>
          <w:numId w:val="1006"/>
        </w:numPr>
        <w:pStyle w:val="Compact"/>
      </w:pPr>
      <w:r>
        <w:t xml:space="preserve">Click</w:t>
      </w:r>
      <w:r>
        <w:t xml:space="preserve"> </w:t>
      </w:r>
      <w:r>
        <w:rPr>
          <w:bCs/>
          <w:b/>
        </w:rPr>
        <w:t xml:space="preserve">Apply Fix</w:t>
      </w:r>
      <w:r>
        <w:t xml:space="preserve">.</w:t>
      </w:r>
    </w:p>
    <w:p>
      <w:pPr>
        <w:pStyle w:val="CaptionedFigure"/>
      </w:pPr>
      <w:r>
        <w:drawing>
          <wp:inline>
            <wp:extent cx="5778500" cy="3250406"/>
            <wp:effectExtent b="0" l="0" r="0" t="0"/>
            <wp:docPr descr="The Fix Field Value dialog with GF-C entered." title="" id="51" name="Picture"/>
            <a:graphic>
              <a:graphicData uri="http://schemas.openxmlformats.org/drawingml/2006/picture">
                <pic:pic>
                  <pic:nvPicPr>
                    <pic:cNvPr descr="images/training-hierarchical-csv/09-fix.png" id="52" name="Picture"/>
                    <pic:cNvPicPr>
                      <a:picLocks noChangeArrowheads="1" noChangeAspect="1"/>
                    </pic:cNvPicPr>
                  </pic:nvPicPr>
                  <pic:blipFill>
                    <a:blip r:embed="rId5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Fix Field Value dialog with GF-C entered.</w:t>
      </w:r>
    </w:p>
    <w:p>
      <w:pPr>
        <w:pStyle w:val="BodyText"/>
      </w:pPr>
      <w:r>
        <w:t xml:space="preserve">The row is checked again and all 7 rows are valid.</w:t>
      </w:r>
    </w:p>
    <w:p>
      <w:pPr>
        <w:pStyle w:val="CaptionedFigure"/>
      </w:pPr>
      <w:r>
        <w:drawing>
          <wp:inline>
            <wp:extent cx="5778500" cy="3250406"/>
            <wp:effectExtent b="0" l="0" r="0" t="0"/>
            <wp:docPr descr="After the fix: 7 valid, 0 errors." title="" id="54" name="Picture"/>
            <a:graphic>
              <a:graphicData uri="http://schemas.openxmlformats.org/drawingml/2006/picture">
                <pic:pic>
                  <pic:nvPicPr>
                    <pic:cNvPr descr="images/training-hierarchical-csv/10-revalidated.png" id="55" name="Picture"/>
                    <pic:cNvPicPr>
                      <a:picLocks noChangeArrowheads="1" noChangeAspect="1"/>
                    </pic:cNvPicPr>
                  </pic:nvPicPr>
                  <pic:blipFill>
                    <a:blip r:embed="rId5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After the fix: 7 valid, 0 errors.</w:t>
      </w:r>
    </w:p>
    <w:p>
      <w:pPr>
        <w:pStyle w:val="BodyText"/>
      </w:pPr>
      <w:r>
        <w:t xml:space="preserve">If a row cannot be fixed,</w:t>
      </w:r>
      <w:r>
        <w:t xml:space="preserve"> </w:t>
      </w:r>
      <w:r>
        <w:rPr>
          <w:bCs/>
          <w:b/>
        </w:rPr>
        <w:t xml:space="preserve">Exclude</w:t>
      </w:r>
      <w:r>
        <w:t xml:space="preserve"> </w:t>
      </w:r>
      <w:r>
        <w:t xml:space="preserve">leaves it out of the import instead.</w:t>
      </w:r>
    </w:p>
    <w:p>
      <w:pPr>
        <w:pStyle w:val="BodyText"/>
      </w:pPr>
      <w:r>
        <w:t xml:space="preserve">Fix changes the value only in this ingest session, not in your file. Correct the CSV as well, so that the next import of the same file is clean.</w:t>
      </w:r>
    </w:p>
    <w:p>
      <w:pPr>
        <w:pStyle w:val="BodyText"/>
      </w:pPr>
      <w:r>
        <w:t xml:space="preserve">Other hierarchy errors you may see at validation:</w:t>
      </w:r>
    </w:p>
    <w:p>
      <w:pPr>
        <w:pStyle w:val="TableCaption"/>
      </w:pPr>
      <w:r>
        <w:t xml:space="preserve">Hierarchy validation messages</w:t>
      </w:r>
    </w:p>
    <w:tbl>
      <w:tblPr>
        <w:tblStyle w:val="Table"/>
        <w:tblW w:type="pct" w:w="5000"/>
        <w:tblLook w:firstRow="1" w:lastRow="0" w:firstColumn="0" w:lastColumn="0" w:noHBand="0" w:noVBand="0" w:val="0020"/>
        <w:jc w:val="start"/>
        <w:tblCaption w:val="Hierarchy validation messages"/>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Parent reference</w:t>
            </w:r>
            <w:r>
              <w:t xml:space="preserve"> </w:t>
            </w:r>
            <w:r>
              <w:t xml:space="preserve">‘</w:t>
            </w:r>
            <w:r>
              <w:t xml:space="preserve">X</w:t>
            </w:r>
            <w:r>
              <w:t xml:space="preserve">’</w:t>
            </w:r>
            <w:r>
              <w:t xml:space="preserve"> </w:t>
            </w:r>
            <w:r>
              <w:t xml:space="preserve">is neither a legacyId in this file nor the slug of an existing description</w:t>
            </w:r>
          </w:p>
        </w:tc>
        <w:tc>
          <w:tcPr/>
          <w:p>
            <w:pPr>
              <w:pStyle w:val="Compact"/>
              <w:jc w:val="left"/>
            </w:pPr>
            <w:r>
              <w:t xml:space="preserve">A typo in parentId, or the parent row is missing</w:t>
            </w:r>
          </w:p>
        </w:tc>
        <w:tc>
          <w:tcPr/>
          <w:p>
            <w:pPr>
              <w:pStyle w:val="Compact"/>
              <w:jc w:val="left"/>
            </w:pPr>
            <w:r>
              <w:t xml:space="preserve">Fix the parentId, or add the parent row</w:t>
            </w:r>
          </w:p>
        </w:tc>
      </w:tr>
      <w:tr>
        <w:tc>
          <w:tcPr/>
          <w:p>
            <w:pPr>
              <w:pStyle w:val="Compact"/>
              <w:jc w:val="left"/>
            </w:pPr>
            <w:r>
              <w:t xml:space="preserve">Row is its own parent</w:t>
            </w:r>
          </w:p>
        </w:tc>
        <w:tc>
          <w:tcPr/>
          <w:p>
            <w:pPr>
              <w:pStyle w:val="Compact"/>
              <w:jc w:val="left"/>
            </w:pPr>
            <w:r>
              <w:t xml:space="preserve">parentId equals the row’s own legacyId</w:t>
            </w:r>
          </w:p>
        </w:tc>
        <w:tc>
          <w:tcPr/>
          <w:p>
            <w:pPr>
              <w:pStyle w:val="Compact"/>
              <w:jc w:val="left"/>
            </w:pPr>
            <w:r>
              <w:t xml:space="preserve">Correct the parentId</w:t>
            </w:r>
          </w:p>
        </w:tc>
      </w:tr>
      <w:tr>
        <w:tc>
          <w:tcPr/>
          <w:p>
            <w:pPr>
              <w:pStyle w:val="Compact"/>
              <w:jc w:val="left"/>
            </w:pPr>
            <w:r>
              <w:t xml:space="preserve">Parent chain loops back to this row</w:t>
            </w:r>
          </w:p>
        </w:tc>
        <w:tc>
          <w:tcPr/>
          <w:p>
            <w:pPr>
              <w:pStyle w:val="Compact"/>
              <w:jc w:val="left"/>
            </w:pPr>
            <w:r>
              <w:t xml:space="preserve">A is under B and B is under A, possibly through other rows</w:t>
            </w:r>
          </w:p>
        </w:tc>
        <w:tc>
          <w:tcPr/>
          <w:p>
            <w:pPr>
              <w:pStyle w:val="Compact"/>
              <w:jc w:val="left"/>
            </w:pPr>
            <w:r>
              <w:t xml:space="preserve">Find the loop and break it</w:t>
            </w:r>
          </w:p>
        </w:tc>
      </w:tr>
    </w:tbl>
    <w:bookmarkEnd w:id="56"/>
    <w:bookmarkStart w:id="63" w:name="preview-and-dry-run"/>
    <w:p>
      <w:pPr>
        <w:pStyle w:val="Heading2"/>
      </w:pPr>
      <w:r>
        <w:t xml:space="preserve">6. Preview and dry run</w:t>
      </w:r>
    </w:p>
    <w:p>
      <w:pPr>
        <w:pStyle w:val="FirstParagraph"/>
      </w:pPr>
      <w:r>
        <w:t xml:space="preserve">Click</w:t>
      </w:r>
      <w:r>
        <w:t xml:space="preserve"> </w:t>
      </w:r>
      <w:r>
        <w:rPr>
          <w:bCs/>
          <w:b/>
        </w:rPr>
        <w:t xml:space="preserve">Preview</w:t>
      </w:r>
      <w:r>
        <w:t xml:space="preserve">. Click</w:t>
      </w:r>
      <w:r>
        <w:t xml:space="preserve"> </w:t>
      </w:r>
      <w:r>
        <w:rPr>
          <w:bCs/>
          <w:b/>
        </w:rPr>
        <w:t xml:space="preserve">Expand All</w:t>
      </w:r>
      <w:r>
        <w:t xml:space="preserve"> </w:t>
      </w:r>
      <w:r>
        <w:t xml:space="preserve">and check that every record sits where you expect. The letters are now under Correspondence.</w:t>
      </w:r>
    </w:p>
    <w:p>
      <w:pPr>
        <w:pStyle w:val="CaptionedFigure"/>
      </w:pPr>
      <w:r>
        <w:drawing>
          <wp:inline>
            <wp:extent cx="5778500" cy="3250406"/>
            <wp:effectExtent b="0" l="0" r="0" t="0"/>
            <wp:docPr descr="Hierarchy Preview: the letters file under Correspondence." title="" id="58" name="Picture"/>
            <a:graphic>
              <a:graphicData uri="http://schemas.openxmlformats.org/drawingml/2006/picture">
                <pic:pic>
                  <pic:nvPicPr>
                    <pic:cNvPr descr="images/training-hierarchical-csv/11-preview.png" id="59" name="Picture"/>
                    <pic:cNvPicPr>
                      <a:picLocks noChangeArrowheads="1" noChangeAspect="1"/>
                    </pic:cNvPicPr>
                  </pic:nvPicPr>
                  <pic:blipFill>
                    <a:blip r:embed="rId5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Hierarchy Preview: the letters file under Correspondence.</w:t>
      </w:r>
    </w:p>
    <w:p>
      <w:pPr>
        <w:pStyle w:val="BodyText"/>
      </w:pPr>
      <w:r>
        <w:t xml:space="preserve">Click</w:t>
      </w:r>
      <w:r>
        <w:t xml:space="preserve"> </w:t>
      </w:r>
      <w:r>
        <w:rPr>
          <w:bCs/>
          <w:b/>
        </w:rPr>
        <w:t xml:space="preserve">Dry-run report</w:t>
      </w:r>
      <w:r>
        <w:t xml:space="preserve"> </w:t>
      </w:r>
      <w:r>
        <w:t xml:space="preserve">to download a report of exactly what the commit will do, row by row, without creating anything. Parents come first, whatever the order of your file. Keep the report with your accession paperwork.</w:t>
      </w:r>
    </w:p>
    <w:p>
      <w:pPr>
        <w:pStyle w:val="CaptionedFigure"/>
      </w:pPr>
      <w:r>
        <w:drawing>
          <wp:inline>
            <wp:extent cx="5778500" cy="3250406"/>
            <wp:effectExtent b="0" l="0" r="0" t="0"/>
            <wp:docPr descr="The dry-run report: order, action and where each record will be placed." title="" id="61" name="Picture"/>
            <a:graphic>
              <a:graphicData uri="http://schemas.openxmlformats.org/drawingml/2006/picture">
                <pic:pic>
                  <pic:nvPicPr>
                    <pic:cNvPr descr="images/training-hierarchical-csv/12-dry-run.png" id="62" name="Picture"/>
                    <pic:cNvPicPr>
                      <a:picLocks noChangeArrowheads="1" noChangeAspect="1"/>
                    </pic:cNvPicPr>
                  </pic:nvPicPr>
                  <pic:blipFill>
                    <a:blip r:embed="rId6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dry-run report: order, action and where each record will be placed.</w:t>
      </w:r>
    </w:p>
    <w:bookmarkEnd w:id="63"/>
    <w:bookmarkStart w:id="67" w:name="commit"/>
    <w:p>
      <w:pPr>
        <w:pStyle w:val="Heading2"/>
      </w:pPr>
      <w:r>
        <w:t xml:space="preserve">7. Commit</w:t>
      </w:r>
    </w:p>
    <w:p>
      <w:pPr>
        <w:pStyle w:val="FirstParagraph"/>
      </w:pPr>
      <w:r>
        <w:t xml:space="preserve">Click</w:t>
      </w:r>
      <w:r>
        <w:t xml:space="preserve"> </w:t>
      </w:r>
      <w:r>
        <w:rPr>
          <w:bCs/>
          <w:b/>
        </w:rPr>
        <w:t xml:space="preserve">Approve &amp; Commit</w:t>
      </w:r>
      <w:r>
        <w:t xml:space="preserve">, then</w:t>
      </w:r>
      <w:r>
        <w:t xml:space="preserve"> </w:t>
      </w:r>
      <w:r>
        <w:rPr>
          <w:bCs/>
          <w:b/>
        </w:rPr>
        <w:t xml:space="preserve">Start Commit</w:t>
      </w:r>
      <w:r>
        <w:t xml:space="preserve">. The records are created in the background; you can leave the page and return to it from the Ingest Dashboard.</w:t>
      </w:r>
    </w:p>
    <w:p>
      <w:pPr>
        <w:pStyle w:val="BodyText"/>
      </w:pPr>
      <w:r>
        <w:t xml:space="preserve">When the job finishes, the completion report shows how many records were created, and any errors.</w:t>
      </w:r>
    </w:p>
    <w:p>
      <w:pPr>
        <w:pStyle w:val="CaptionedFigure"/>
      </w:pPr>
      <w:r>
        <w:drawing>
          <wp:inline>
            <wp:extent cx="5778500" cy="3250406"/>
            <wp:effectExtent b="0" l="0" r="0" t="0"/>
            <wp:docPr descr="Ingest Completed: 7 records created, 0 errors." title="" id="65" name="Picture"/>
            <a:graphic>
              <a:graphicData uri="http://schemas.openxmlformats.org/drawingml/2006/picture">
                <pic:pic>
                  <pic:nvPicPr>
                    <pic:cNvPr descr="images/training-hierarchical-csv/13-completed.png" id="66" name="Picture"/>
                    <pic:cNvPicPr>
                      <a:picLocks noChangeArrowheads="1" noChangeAspect="1"/>
                    </pic:cNvPicPr>
                  </pic:nvPicPr>
                  <pic:blipFill>
                    <a:blip r:embed="rId6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Ingest Completed: 7 records created, 0 errors.</w:t>
      </w:r>
    </w:p>
    <w:bookmarkEnd w:id="67"/>
    <w:bookmarkStart w:id="74" w:name="check-the-result"/>
    <w:p>
      <w:pPr>
        <w:pStyle w:val="Heading2"/>
      </w:pPr>
      <w:r>
        <w:t xml:space="preserve">8. Check the result</w:t>
      </w:r>
    </w:p>
    <w:p>
      <w:pPr>
        <w:numPr>
          <w:ilvl w:val="0"/>
          <w:numId w:val="1007"/>
        </w:numPr>
        <w:pStyle w:val="Compact"/>
      </w:pPr>
      <w:r>
        <w:t xml:space="preserve">Search for</w:t>
      </w:r>
      <w:r>
        <w:t xml:space="preserve"> </w:t>
      </w:r>
      <w:r>
        <w:rPr>
          <w:bCs/>
          <w:b/>
        </w:rPr>
        <w:t xml:space="preserve">Groenkloof</w:t>
      </w:r>
      <w:r>
        <w:t xml:space="preserve"> </w:t>
      </w:r>
      <w:r>
        <w:t xml:space="preserve">and open the fonds.</w:t>
      </w:r>
    </w:p>
    <w:p>
      <w:pPr>
        <w:numPr>
          <w:ilvl w:val="0"/>
          <w:numId w:val="1007"/>
        </w:numPr>
        <w:pStyle w:val="Compact"/>
      </w:pPr>
      <w:r>
        <w:t xml:space="preserve">The tree on the left shows the fonds with its two series. Open</w:t>
      </w:r>
      <w:r>
        <w:t xml:space="preserve"> </w:t>
      </w:r>
      <w:r>
        <w:rPr>
          <w:bCs/>
          <w:b/>
        </w:rPr>
        <w:t xml:space="preserve">Correspondence</w:t>
      </w:r>
      <w:r>
        <w:t xml:space="preserve"> </w:t>
      </w:r>
      <w:r>
        <w:t xml:space="preserve">from the tree: the letters file is under it.</w:t>
      </w:r>
    </w:p>
    <w:p>
      <w:pPr>
        <w:pStyle w:val="CaptionedFigure"/>
      </w:pPr>
      <w:r>
        <w:drawing>
          <wp:inline>
            <wp:extent cx="5778500" cy="3250406"/>
            <wp:effectExtent b="0" l="0" r="0" t="0"/>
            <wp:docPr descr="Correspondence, with the letters file under it in the tree." title="" id="69" name="Picture"/>
            <a:graphic>
              <a:graphicData uri="http://schemas.openxmlformats.org/drawingml/2006/picture">
                <pic:pic>
                  <pic:nvPicPr>
                    <pic:cNvPr descr="images/training-hierarchical-csv/14-result.png" id="70" name="Picture"/>
                    <pic:cNvPicPr>
                      <a:picLocks noChangeArrowheads="1" noChangeAspect="1"/>
                    </pic:cNvPicPr>
                  </pic:nvPicPr>
                  <pic:blipFill>
                    <a:blip r:embed="rId6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Correspondence, with the letters file under it in the tree.</w:t>
      </w:r>
    </w:p>
    <w:p>
      <w:pPr>
        <w:numPr>
          <w:ilvl w:val="0"/>
          <w:numId w:val="1008"/>
        </w:numPr>
        <w:pStyle w:val="Compact"/>
      </w:pPr>
      <w:r>
        <w:t xml:space="preserve">Note</w:t>
      </w:r>
      <w:r>
        <w:t xml:space="preserve"> </w:t>
      </w:r>
      <w:r>
        <w:rPr>
          <w:bCs/>
          <w:b/>
        </w:rPr>
        <w:t xml:space="preserve">(Draft)</w:t>
      </w:r>
      <w:r>
        <w:t xml:space="preserve"> </w:t>
      </w:r>
      <w:r>
        <w:t xml:space="preserve">after the title. Imported records are saved as drafts, so the public cannot see them yet. Check the descriptions, then publish them when they are ready: on the fonds, choose More &gt; Update publication status, and apply it to the descendants as well.</w:t>
      </w:r>
    </w:p>
    <w:p>
      <w:pPr>
        <w:pStyle w:val="CaptionedFigure"/>
      </w:pPr>
      <w:r>
        <w:drawing>
          <wp:inline>
            <wp:extent cx="5778500" cy="3250406"/>
            <wp:effectExtent b="0" l="0" r="0" t="0"/>
            <wp:docPr descr="The (Draft) marker after the title." title="" id="72" name="Picture"/>
            <a:graphic>
              <a:graphicData uri="http://schemas.openxmlformats.org/drawingml/2006/picture">
                <pic:pic>
                  <pic:nvPicPr>
                    <pic:cNvPr descr="images/training-hierarchical-csv/15-draft.png" id="73" name="Picture"/>
                    <pic:cNvPicPr>
                      <a:picLocks noChangeArrowheads="1" noChangeAspect="1"/>
                    </pic:cNvPicPr>
                  </pic:nvPicPr>
                  <pic:blipFill>
                    <a:blip r:embed="rId7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(Draft) marker after the title.</w:t>
      </w:r>
    </w:p>
    <w:bookmarkEnd w:id="74"/>
    <w:bookmarkStart w:id="75" w:name="recap"/>
    <w:p>
      <w:pPr>
        <w:pStyle w:val="Heading2"/>
      </w:pPr>
      <w:r>
        <w:t xml:space="preserve">Recap</w:t>
      </w:r>
    </w:p>
    <w:p>
      <w:pPr>
        <w:numPr>
          <w:ilvl w:val="0"/>
          <w:numId w:val="1009"/>
        </w:numPr>
        <w:pStyle w:val="Compact"/>
      </w:pPr>
      <w:r>
        <w:t xml:space="preserve">Build the CSV with AtoM’s column names, using legacyId and parentId for the hierarchy.</w:t>
      </w:r>
    </w:p>
    <w:p>
      <w:pPr>
        <w:numPr>
          <w:ilvl w:val="0"/>
          <w:numId w:val="1009"/>
        </w:numPr>
        <w:pStyle w:val="Compact"/>
      </w:pPr>
      <w:r>
        <w:t xml:space="preserve">AHG Plugins &gt; Data Ingest &gt; New Ingest, and choose Use hierarchy from CSV.</w:t>
      </w:r>
    </w:p>
    <w:p>
      <w:pPr>
        <w:numPr>
          <w:ilvl w:val="0"/>
          <w:numId w:val="1009"/>
        </w:numPr>
        <w:pStyle w:val="Compact"/>
      </w:pPr>
      <w:r>
        <w:t xml:space="preserve">Upload the file and check the mapping.</w:t>
      </w:r>
    </w:p>
    <w:p>
      <w:pPr>
        <w:numPr>
          <w:ilvl w:val="0"/>
          <w:numId w:val="1009"/>
        </w:numPr>
        <w:pStyle w:val="Compact"/>
      </w:pPr>
      <w:r>
        <w:t xml:space="preserve">Fix errors at validation, and in your file.</w:t>
      </w:r>
    </w:p>
    <w:p>
      <w:pPr>
        <w:numPr>
          <w:ilvl w:val="0"/>
          <w:numId w:val="1009"/>
        </w:numPr>
        <w:pStyle w:val="Compact"/>
      </w:pPr>
      <w:r>
        <w:t xml:space="preserve">Preview, run a dry run, and commit.</w:t>
      </w:r>
    </w:p>
    <w:p>
      <w:pPr>
        <w:numPr>
          <w:ilvl w:val="0"/>
          <w:numId w:val="1009"/>
        </w:numPr>
        <w:pStyle w:val="Compact"/>
      </w:pPr>
      <w:r>
        <w:t xml:space="preserve">Check the tree, then publish.</w:t>
      </w:r>
    </w:p>
    <w:bookmarkEnd w:id="75"/>
    <w:bookmarkStart w:id="76" w:name="cleaning-up"/>
    <w:p>
      <w:pPr>
        <w:pStyle w:val="Heading2"/>
      </w:pPr>
      <w:r>
        <w:t xml:space="preserve">Cleaning up</w:t>
      </w:r>
    </w:p>
    <w:p>
      <w:pPr>
        <w:pStyle w:val="FirstParagraph"/>
      </w:pPr>
      <w:r>
        <w:t xml:space="preserve">To remove the practice records, open the fonds and choose</w:t>
      </w:r>
      <w:r>
        <w:t xml:space="preserve"> </w:t>
      </w:r>
      <w:r>
        <w:rPr>
          <w:bCs/>
          <w:b/>
        </w:rPr>
        <w:t xml:space="preserve">Delete</w:t>
      </w:r>
      <w:r>
        <w:t xml:space="preserve">. AtoM deletes the series, files and item under it as well.</w:t>
      </w:r>
    </w:p>
    <w:bookmarkEnd w:id="76"/>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hyperlink" Id="rId20" Target="https://youtu.be/wS-EbXtmkT0"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20" Target="https://youtu.be/wS-EbXtmkT0"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Importing a Hierarchy from CSV</dc:title>
  <dc:creator>Dr Johan Pieterse</dc:creator>
  <cp:keywords/>
  <dcterms:created xsi:type="dcterms:W3CDTF">2026-10-09T09:03:29Z</dcterms:created>
  <dcterms:modified xsi:type="dcterms:W3CDTF">2026-10-09T09:03:29Z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building a fonds, its series, files and items from one CSV file with Data Ingest</vt:lpwstr>
  </property>
</Properties>
</file>