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Control — Feature Overview</w:t>
      </w:r>
    </w:p>
    <w:p>
      <w:pPr>
        <w:pStyle w:val="Author"/>
      </w:pPr>
      <w:r>
        <w:t xml:space="preserve">The Archive and Heritage Group (Pty) Ltd</w:t>
      </w:r>
    </w:p>
    <w:bookmarkStart w:id="28" w:name="version-control-feature-overview"/>
    <w:p>
      <w:pPr>
        <w:pStyle w:val="Heading1"/>
      </w:pPr>
      <w:r>
        <w:t xml:space="preserve">Version Control — Feature Overview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rPr>
          <w:rStyle w:val="VerbatimChar"/>
        </w:rPr>
        <w:t xml:space="preserve">ahgVersionControlPlugin</w:t>
      </w:r>
      <w:r>
        <w:t xml:space="preserve"> </w:t>
      </w:r>
      <w:r>
        <w:t xml:space="preserve">(AtoM) /</w:t>
      </w:r>
      <w:r>
        <w:t xml:space="preserve"> </w:t>
      </w:r>
      <w:r>
        <w:rPr>
          <w:rStyle w:val="VerbatimChar"/>
        </w:rPr>
        <w:t xml:space="preserve">ahg-version-control</w:t>
      </w:r>
      <w:r>
        <w:t xml:space="preserve"> </w:t>
      </w:r>
      <w:r>
        <w:t xml:space="preserve">(Heratio)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0.1.0 (initial release)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Records management</w:t>
      </w:r>
    </w:p>
    <w:bookmarkStart w:id="20" w:name="what-it-does"/>
    <w:p>
      <w:pPr>
        <w:pStyle w:val="Heading2"/>
      </w:pPr>
      <w:r>
        <w:t xml:space="preserve">What it does</w:t>
      </w:r>
    </w:p>
    <w:p>
      <w:pPr>
        <w:pStyle w:val="FirstParagraph"/>
      </w:pPr>
      <w:r>
        <w:t xml:space="preserve">Captures a full, restorable snapshot of every information-object and authority-record (actor) save. Adds a</w:t>
      </w:r>
      <w:r>
        <w:t xml:space="preserve"> </w:t>
      </w:r>
      <w:r>
        <w:t xml:space="preserve">“</w:t>
      </w:r>
      <w:r>
        <w:t xml:space="preserve">Versions</w:t>
      </w:r>
      <w:r>
        <w:t xml:space="preserve">”</w:t>
      </w:r>
      <w:r>
        <w:t xml:space="preserve"> </w:t>
      </w:r>
      <w:r>
        <w:t xml:space="preserve">history to every record with side-by-side diff and a one-click restore. Integrates with the AHG audit trail and security clearance system so every version event is auditable and classified records are protected from unauthorised rollbacks.</w:t>
      </w:r>
    </w:p>
    <w:p>
      <w:pPr>
        <w:pStyle w:val="BodyText"/>
      </w:pPr>
      <w:r>
        <w:t xml:space="preserve">Designed for clients whose tender, regulatory, or policy environment requires demonstrable change-tracking on archival metadata — POPIA, GDPR, NARSSA, applicable records-management framework (clauses 4.1.1.3, 4.1.1.9, 4.6.2), and equivalents internationally.</w:t>
      </w:r>
    </w:p>
    <w:bookmarkEnd w:id="20"/>
    <w:bookmarkStart w:id="21" w:name="key-features"/>
    <w:p>
      <w:pPr>
        <w:pStyle w:val="Heading2"/>
      </w:pPr>
      <w:r>
        <w:t xml:space="preserve">Key features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Automatic capture on every save.</w:t>
      </w:r>
      <w:r>
        <w:t xml:space="preserve"> </w:t>
      </w:r>
      <w:r>
        <w:t xml:space="preserve">No user action required. A snapshot of the record’s full state — including all</w:t>
      </w:r>
      <w:r>
        <w:t xml:space="preserve"> </w:t>
      </w:r>
      <w:r>
        <w:rPr>
          <w:rStyle w:val="VerbatimChar"/>
        </w:rPr>
        <w:t xml:space="preserve">i18n</w:t>
      </w:r>
      <w:r>
        <w:t xml:space="preserve"> </w:t>
      </w:r>
      <w:r>
        <w:t xml:space="preserve">cultures, access points, events, relations, physical-object links, and custom-field values — lands in the version table after every commit.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Word-level diff with inline highlights.</w:t>
      </w:r>
      <w:r>
        <w:t xml:space="preserve"> </w:t>
      </w:r>
      <w:r>
        <w:t xml:space="preserve">Side-by-side comparison of any two versions, with</w:t>
      </w:r>
      <w:r>
        <w:t xml:space="preserve"> </w:t>
      </w:r>
      <w:r>
        <w:rPr>
          <w:rStyle w:val="VerbatimChar"/>
        </w:rPr>
        <w:t xml:space="preserve">&lt;ins&gt;</w:t>
      </w:r>
      <w:r>
        <w:t xml:space="preserve"> </w:t>
      </w:r>
      <w:r>
        <w:t xml:space="preserve">(green) and</w:t>
      </w:r>
      <w:r>
        <w:t xml:space="preserve"> </w:t>
      </w:r>
      <w:r>
        <w:rPr>
          <w:rStyle w:val="VerbatimChar"/>
        </w:rPr>
        <w:t xml:space="preserve">&lt;del&gt;</w:t>
      </w:r>
      <w:r>
        <w:t xml:space="preserve"> </w:t>
      </w:r>
      <w:r>
        <w:t xml:space="preserve">(red strikethrough) spans inside long-text fields so curators see exactly which words changed.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One-click restore.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Restore this version</w:t>
      </w:r>
      <w:r>
        <w:t xml:space="preserve">”</w:t>
      </w:r>
      <w:r>
        <w:t xml:space="preserve"> </w:t>
      </w:r>
      <w:r>
        <w:t xml:space="preserve">button on the version detail page rolls the record back to the chosen snapshot. The restore creates a new version row tagged</w:t>
      </w:r>
      <w:r>
        <w:t xml:space="preserve"> </w:t>
      </w:r>
      <w:r>
        <w:rPr>
          <w:rStyle w:val="VerbatimChar"/>
        </w:rPr>
        <w:t xml:space="preserve">is_restore=1, restored_from_version=N</w:t>
      </w:r>
      <w:r>
        <w:t xml:space="preserve"> </w:t>
      </w:r>
      <w:r>
        <w:t xml:space="preserve">for full auditability — restores never lose history.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Two-layer security on restore.</w:t>
      </w:r>
    </w:p>
    <w:p>
      <w:pPr>
        <w:numPr>
          <w:ilvl w:val="1"/>
          <w:numId w:val="1002"/>
        </w:numPr>
        <w:pStyle w:val="Compact"/>
      </w:pPr>
      <w:r>
        <w:t xml:space="preserve">Class-action ACL:</w:t>
      </w:r>
      <w:r>
        <w:t xml:space="preserve"> </w:t>
      </w:r>
      <w:r>
        <w:rPr>
          <w:rStyle w:val="VerbatimChar"/>
        </w:rPr>
        <w:t xml:space="preserve">version.list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version.diff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version.restore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version.restore_classified</w:t>
      </w:r>
      <w:r>
        <w:t xml:space="preserve"> </w:t>
      </w:r>
      <w:r>
        <w:t xml:space="preserve">permissions plug into AtoM’s existing</w:t>
      </w:r>
      <w:r>
        <w:t xml:space="preserve"> </w:t>
      </w:r>
      <w:r>
        <w:rPr>
          <w:rStyle w:val="VerbatimChar"/>
        </w:rPr>
        <w:t xml:space="preserve">acl_permission</w:t>
      </w:r>
      <w:r>
        <w:t xml:space="preserve"> </w:t>
      </w:r>
      <w:r>
        <w:t xml:space="preserve">table.</w:t>
      </w:r>
    </w:p>
    <w:p>
      <w:pPr>
        <w:numPr>
          <w:ilvl w:val="1"/>
          <w:numId w:val="1002"/>
        </w:numPr>
        <w:pStyle w:val="Compact"/>
      </w:pPr>
      <w:r>
        <w:t xml:space="preserve">Security clearance: when a record is classified under</w:t>
      </w:r>
      <w:r>
        <w:t xml:space="preserve"> </w:t>
      </w:r>
      <w:r>
        <w:rPr>
          <w:rStyle w:val="VerbatimChar"/>
        </w:rPr>
        <w:t xml:space="preserve">ahgSecurityClearancePlugin</w:t>
      </w:r>
      <w:r>
        <w:t xml:space="preserve">, restoring requires a clearance level matching the record’s CURRENT classification (security upgrades cannot be reversed by lower-cleared users).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Audit dual-write.</w:t>
      </w:r>
      <w:r>
        <w:t xml:space="preserve"> </w:t>
      </w:r>
      <w:r>
        <w:t xml:space="preserve">Every version create and restore writes a row to</w:t>
      </w:r>
      <w:r>
        <w:t xml:space="preserve"> </w:t>
      </w:r>
      <w:r>
        <w:rPr>
          <w:rStyle w:val="VerbatimChar"/>
        </w:rPr>
        <w:t xml:space="preserve">ahg_audit_log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action=version_created|version_restored</w:t>
      </w:r>
      <w:r>
        <w:t xml:space="preserve">, the full metadata, and the responsible user. Compliance reviews see version events alongside every other auditable action without querying a second table.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Retention pruning.</w:t>
      </w:r>
      <w:r>
        <w:t xml:space="preserve"> </w:t>
      </w:r>
      <w:r>
        <w:t xml:space="preserve">Optional</w:t>
      </w:r>
      <w:r>
        <w:t xml:space="preserve"> </w:t>
      </w:r>
      <w:r>
        <w:rPr>
          <w:rStyle w:val="VerbatimChar"/>
        </w:rPr>
        <w:t xml:space="preserve">retain_count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retain_days</w:t>
      </w:r>
      <w:r>
        <w:t xml:space="preserve"> </w:t>
      </w:r>
      <w:r>
        <w:t xml:space="preserve">settings keep storage bounded. The v1 baseline is always preserved; the most-recent N versions are always preserved.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Backfill on install.</w:t>
      </w:r>
      <w:r>
        <w:t xml:space="preserve"> </w:t>
      </w:r>
      <w:r>
        <w:t xml:space="preserve">A one-shot CLI task creates a v1 baseline for every existing record so the version timeline doesn’t start mid-history. Idempotent — safe to re-run.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Cross-surface parity.</w:t>
      </w:r>
      <w:r>
        <w:t xml:space="preserve"> </w:t>
      </w:r>
      <w:r>
        <w:t xml:space="preserve">Identical behaviour, schema, and snapshot shape across AtoM (Symfony 1.x) and Heratio (Laravel) deployments. Cross-surface migration of version history is byte-equivalent.</w:t>
      </w:r>
    </w:p>
    <w:bookmarkEnd w:id="21"/>
    <w:bookmarkStart w:id="22" w:name="compliance-and-standards-alignment"/>
    <w:p>
      <w:pPr>
        <w:pStyle w:val="Heading2"/>
      </w:pPr>
      <w:r>
        <w:t xml:space="preserve">Compliance and standards alignment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Standard / 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this plugin supports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applicable tender or regulatory framework</w:t>
            </w:r>
            <w:r>
              <w:t xml:space="preserve"> </w:t>
            </w:r>
            <w:r>
              <w:t xml:space="preserve">clauses 4.1.1.3, 4.1.1.9, 4.6.2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management, version control for search/retrieval, version control + audit trail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integrity and traceability of who changed what, when; complements the existing</w:t>
            </w:r>
            <w:r>
              <w:t xml:space="preserve"> </w:t>
            </w:r>
            <w:r>
              <w:rPr>
                <w:rStyle w:val="VerbatimChar"/>
              </w:rPr>
              <w:t xml:space="preserve">ahgAuditTrailPlugin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NARSSA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Records-management lifecycle integrity; restore operations are themselves audited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Restores on classified records require matching clearance; lower-cleared users see a clear 403 with a friendly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 15489</w:t>
            </w:r>
            <w:r>
              <w:t xml:space="preserve"> </w:t>
            </w:r>
            <w:r>
              <w:t xml:space="preserve">(records management)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of all changes; non-destructive corrections via versioned restore</w:t>
            </w:r>
          </w:p>
        </w:tc>
      </w:tr>
    </w:tbl>
    <w:bookmarkEnd w:id="22"/>
    <w:bookmarkStart w:id="23" w:name="technical-requirements"/>
    <w:p>
      <w:pPr>
        <w:pStyle w:val="Heading2"/>
      </w:pPr>
      <w:r>
        <w:t xml:space="preserve">Technical requirements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AtoM</w:t>
      </w:r>
      <w:r>
        <w:t xml:space="preserve"> </w:t>
      </w:r>
      <w:r>
        <w:t xml:space="preserve">2.10 (Symfony 1.x), MySQL 8, PHP 8.1+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Heratio</w:t>
      </w:r>
      <w:r>
        <w:t xml:space="preserve"> </w:t>
      </w:r>
      <w:r>
        <w:t xml:space="preserve">(Laravel 10+), MySQL 8, PHP 8.2+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Required plugin:</w:t>
      </w:r>
      <w:r>
        <w:t xml:space="preserve"> </w:t>
      </w:r>
      <w:r>
        <w:rPr>
          <w:rStyle w:val="VerbatimChar"/>
        </w:rPr>
        <w:t xml:space="preserve">ahgCorePlugin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Recommended plugins (graceful fall-back if missing):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ahgAuditTrailPlugin</w:t>
      </w:r>
      <w:r>
        <w:t xml:space="preserve"> </w:t>
      </w:r>
      <w:r>
        <w:t xml:space="preserve">— for the central audit feed dual-write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ahgSecurityClearancePlugin</w:t>
      </w:r>
      <w:r>
        <w:t xml:space="preserve"> </w:t>
      </w:r>
      <w:r>
        <w:t xml:space="preserve">— for clearance-gated restore on classified records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ahgCustomFieldsPlugin</w:t>
      </w:r>
      <w:r>
        <w:t xml:space="preserve"> </w:t>
      </w:r>
      <w:r>
        <w:t xml:space="preserve">— included in snapshots when present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Storage:</w:t>
      </w:r>
      <w:r>
        <w:t xml:space="preserve"> </w:t>
      </w:r>
      <w:r>
        <w:t xml:space="preserve">~3–5 KB per version (varies by record richness). On a 10,000-record archive with retention pruning of</w:t>
      </w:r>
      <w:r>
        <w:t xml:space="preserve"> </w:t>
      </w:r>
      <w:r>
        <w:t xml:space="preserve">“</w:t>
      </w:r>
      <w:r>
        <w:t xml:space="preserve">100 most-recent</w:t>
      </w:r>
      <w:r>
        <w:t xml:space="preserve">”</w:t>
      </w:r>
      <w:r>
        <w:t xml:space="preserve">, typical disk usage is ~5 GB. Retention pruning is configurable.</w:t>
      </w:r>
    </w:p>
    <w:bookmarkEnd w:id="23"/>
    <w:bookmarkStart w:id="24" w:name="Xe02f8b493c09ebaea7747e1517423f06a43d69f"/>
    <w:p>
      <w:pPr>
        <w:pStyle w:val="Heading2"/>
      </w:pPr>
      <w:r>
        <w:t xml:space="preserve">What is restored, and what is not (v1.0 scope)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Restored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restored (current scope)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record fields (identifier, level, repository,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points (</w:t>
            </w:r>
            <w:r>
              <w:rPr>
                <w:rStyle w:val="VerbatimChar"/>
              </w:rPr>
              <w:t xml:space="preserve">object_term_relation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i18n rows in all cultures (titles, scope, notes,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field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 between entities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Physical-object links</w:t>
            </w:r>
          </w:p>
        </w:tc>
      </w:tr>
    </w:tbl>
    <w:p>
      <w:pPr>
        <w:pStyle w:val="BodyText"/>
      </w:pPr>
      <w:r>
        <w:t xml:space="preserve">The non-restored data stays as it is at the time of restore — the modal makes this explicit so users decide before confirming. Full restore of access points / events / relations is planned for the next release; for now an admin can re-apply them manually using the snapshot view.</w:t>
      </w:r>
    </w:p>
    <w:bookmarkEnd w:id="24"/>
    <w:bookmarkStart w:id="25" w:name="how-it-scales"/>
    <w:p>
      <w:pPr>
        <w:pStyle w:val="Heading2"/>
      </w:pPr>
      <w:r>
        <w:t xml:space="preserve">How it scales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Capture latency:</w:t>
      </w:r>
      <w:r>
        <w:t xml:space="preserve"> </w:t>
      </w:r>
      <w:r>
        <w:t xml:space="preserve">sub-50 ms per save on PSIS-equivalent hardware (1 vCPU, 4 GB RAM, MySQL 8 on local disk).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Concurrency:</w:t>
      </w:r>
      <w:r>
        <w:t xml:space="preserve"> </w:t>
      </w:r>
      <w:r>
        <w:t xml:space="preserve">parent-row</w:t>
      </w:r>
      <w:r>
        <w:t xml:space="preserve"> </w:t>
      </w:r>
      <w:r>
        <w:rPr>
          <w:rStyle w:val="VerbatimChar"/>
        </w:rPr>
        <w:t xml:space="preserve">SELECT … FOR UPDATE</w:t>
      </w:r>
      <w:r>
        <w:t xml:space="preserve"> </w:t>
      </w:r>
      <w:r>
        <w:t xml:space="preserve">serialises version writes per entity. Two simultaneous saves of the same record produce sequential</w:t>
      </w:r>
      <w:r>
        <w:t xml:space="preserve"> </w:t>
      </w:r>
      <w:r>
        <w:rPr>
          <w:rStyle w:val="VerbatimChar"/>
        </w:rPr>
        <w:t xml:space="preserve">version_number</w:t>
      </w:r>
      <w:r>
        <w:t xml:space="preserve">s with no deadlocks.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Backfill:</w:t>
      </w:r>
      <w:r>
        <w:t xml:space="preserve"> </w:t>
      </w:r>
      <w:r>
        <w:t xml:space="preserve">~120 entities/second sustained on the same hardware. A 50,000-record archive completes in ~7 minutes.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Prune:</w:t>
      </w:r>
      <w:r>
        <w:t xml:space="preserve"> </w:t>
      </w:r>
      <w:r>
        <w:t xml:space="preserve">chunked deletes in batches of 1,000, transactional per chunk. No table-wide lock.</w:t>
      </w:r>
    </w:p>
    <w:bookmarkEnd w:id="25"/>
    <w:bookmarkStart w:id="26" w:name="licensing"/>
    <w:p>
      <w:pPr>
        <w:pStyle w:val="Heading2"/>
      </w:pPr>
      <w:r>
        <w:t xml:space="preserve">Licensing</w:t>
      </w:r>
    </w:p>
    <w:p>
      <w:pPr>
        <w:pStyle w:val="FirstParagraph"/>
      </w:pPr>
      <w:r>
        <w:t xml:space="preserve">Proprietary AHG plugin licensed to the deploying client as part of the contract. Source code distributed to the client; modifications by the client are permitted under the contract terms.</w:t>
      </w:r>
    </w:p>
    <w:p>
      <w:pPr>
        <w:pStyle w:val="BodyText"/>
      </w:pPr>
      <w:r>
        <w:t xml:space="preserve">The plugin sits on top of open-source AtoM (AGPL-3.0) without modifying base AtoM source — every customisation lives inside the plugin directory tree.</w:t>
      </w:r>
    </w:p>
    <w:bookmarkEnd w:id="26"/>
    <w:bookmarkStart w:id="27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The Archive and Heritage Group (Pty) Ltd · johan@theahg.co.za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is a distributable feature overview. For installation and configuration see the User Manual; for schema and service reference see the Technical Manual.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Control — Feature Overview</dc:title>
  <dc:creator>The Archive and Heritage Group (Pty) Ltd</dc:creator>
  <cp:keywords/>
  <dcterms:created xsi:type="dcterms:W3CDTF">2026-05-17T07:32:32Z</dcterms:created>
  <dcterms:modified xsi:type="dcterms:W3CDTF">2026-05-17T07:32:32Z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