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29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157.png" ContentType="image/png"/>
  <Override PartName="/word/media/rId161.png" ContentType="image/png"/>
  <Override PartName="/word/media/rId165.png" ContentType="image/png"/>
  <Override PartName="/word/media/rId169.png" ContentType="image/png"/>
  <Override PartName="/word/media/rId173.png" ContentType="image/png"/>
  <Override PartName="/word/media/rId33.png" ContentType="image/png"/>
  <Override PartName="/word/media/rId177.png" ContentType="image/png"/>
  <Override PartName="/word/media/rId181.png" ContentType="image/png"/>
  <Override PartName="/word/media/rId185.png" ContentType="image/png"/>
  <Override PartName="/word/media/rId189.png" ContentType="image/png"/>
  <Override PartName="/word/media/rId193.png" ContentType="image/png"/>
  <Override PartName="/word/media/rId197.png" ContentType="image/png"/>
  <Override PartName="/word/media/rId201.png" ContentType="image/png"/>
  <Override PartName="/word/media/rId205.png" ContentType="image/png"/>
  <Override PartName="/word/media/rId209.png" ContentType="image/png"/>
  <Override PartName="/word/media/rId21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217.png" ContentType="image/png"/>
  <Override PartName="/word/media/rId221.png" ContentType="image/png"/>
  <Override PartName="/word/media/rId225.png" ContentType="image/png"/>
  <Override PartName="/word/media/rId229.png" ContentType="image/png"/>
  <Override PartName="/word/media/rId233.png" ContentType="image/png"/>
  <Override PartName="/word/media/rId2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GCIS RFB-001 — Evidence Index</w:t>
      </w:r>
    </w:p>
    <w:p>
      <w:pPr>
        <w:pStyle w:val="Author"/>
      </w:pPr>
      <w:r>
        <w:t xml:space="preserve">The Archive and Heritage Group (Pty) Ltd</w:t>
      </w:r>
    </w:p>
    <w:bookmarkStart w:id="241" w:name="gcis-rfb-001-20262027-evidence-index"/>
    <w:p>
      <w:pPr>
        <w:pStyle w:val="Heading1"/>
      </w:pPr>
      <w:r>
        <w:t xml:space="preserve">GCIS RFB-001 2026/2027 — Evidence Index</w:t>
      </w:r>
    </w:p>
    <w:p>
      <w:pPr>
        <w:pStyle w:val="FirstParagraph"/>
      </w:pPr>
      <w:r>
        <w:rPr>
          <w:bCs/>
          <w:b/>
        </w:rPr>
        <w:t xml:space="preserve">AtoM-Aligned Plan · Gate 1 Criterion 2 · The Archive and Heritage Group (Pty) Ltd · 2026-05-12</w:t>
      </w:r>
    </w:p>
    <w:p>
      <w:pPr>
        <w:pStyle w:val="BlockText"/>
      </w:pPr>
      <w:r>
        <w:t xml:space="preserve">55 screenshots covering</w:t>
      </w:r>
      <w:r>
        <w:t xml:space="preserve"> </w:t>
      </w:r>
      <w:r>
        <w:rPr>
          <w:bCs/>
          <w:b/>
        </w:rPr>
        <w:t xml:space="preserve">34</w:t>
      </w:r>
      <w:r>
        <w:t xml:space="preserve"> </w:t>
      </w:r>
      <w:r>
        <w:t xml:space="preserve">tender clauses.</w:t>
      </w:r>
      <w:r>
        <w:t xml:space="preserve"> </w:t>
      </w:r>
      <w:r>
        <w:rPr>
          <w:bCs/>
          <w:b/>
        </w:rPr>
        <w:t xml:space="preserve">49</w:t>
      </w:r>
      <w:r>
        <w:t xml:space="preserve"> </w:t>
      </w:r>
      <w:r>
        <w:t xml:space="preserve">mandatory (S1–S49),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supplementary (X1–X6) demonstrating</w:t>
      </w:r>
      <w:r>
        <w:t xml:space="preserve"> </w:t>
      </w:r>
      <w:r>
        <w:t xml:space="preserve">“</w:t>
      </w:r>
      <w:r>
        <w:t xml:space="preserve">exceeds expectations</w:t>
      </w:r>
      <w:r>
        <w:t xml:space="preserve">”</w:t>
      </w:r>
      <w:r>
        <w:t xml:space="preserve"> </w:t>
      </w:r>
      <w:r>
        <w:t xml:space="preserve">capability. Captured live from</w:t>
      </w:r>
      <w:r>
        <w:t xml:space="preserve"> </w:t>
      </w:r>
      <w:r>
        <w:rPr>
          <w:rStyle w:val="VerbatimChar"/>
        </w:rPr>
        <w:t xml:space="preserve">https://psis.theahg.co.za</w:t>
      </w:r>
      <w:r>
        <w:t xml:space="preserve">; non-page artefacts (CLI, schema diagrams, vendor docs) rendered as styled evidence pages.</w:t>
      </w:r>
    </w:p>
    <w:p>
      <w:pPr>
        <w:pStyle w:val="FirstParagraph"/>
      </w:pPr>
      <w:r>
        <w:t xml:space="preserve">The pack is organised by tender clause. Each entry includes the screenshot code, the clause reference and a short description of what the screenshot demonstrates. Screenshots are also delivered as individual PNG files under</w:t>
      </w:r>
      <w:r>
        <w:t xml:space="preserve"> </w:t>
      </w:r>
      <w:r>
        <w:rPr>
          <w:rStyle w:val="VerbatimChar"/>
        </w:rPr>
        <w:t xml:space="preserve">atom-ahg-plugins/testing/playwright/screenshots/</w:t>
      </w:r>
      <w:r>
        <w:t xml:space="preserve">.</w:t>
      </w:r>
    </w:p>
    <w:bookmarkStart w:id="20" w:name="clause-to-screenshot-map"/>
    <w:p>
      <w:pPr>
        <w:pStyle w:val="Heading2"/>
      </w:pPr>
      <w:r>
        <w:t xml:space="preserve">Clause-to-screenshot 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SharePoint auto-ingest rules (+ 2 more)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S1, S2,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sourced from SharePoint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retrieval (+ 3 more)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S5, S6, S7, S8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cross-reference SP ⇄ 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 wizard (+ 1 more)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S10, S11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Retention-label triggered archival (+ 1 more)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S12, S13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Dublin Core fields on record edit (+ 2 more)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S14, S15, S16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 import (+ 1 more)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S17, S18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access points (tagging) (+ 2 more)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S19, S20, S21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4.1.1.10.a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Full-text search (+ 1 more)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S22, S23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Federated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4.1.1.10.b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link to active SharePoint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4.1.1.12.a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groups list (+ 1 more)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S27, S28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4.1.1.12.b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encryption in transit (manual) (+ 1 more)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S29, S30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4.1.1.12.c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 classification on record edit (+ 1 more)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S31, S32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4.1.1.12.d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management admin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4.1.1.12.e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Time-limited share-link (+ 1 more)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S34, S35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4.1.1.12.f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(+ 1 more)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S36, S37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4.1.1.13.a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/ Rights dashboard (+ 1 more)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S38, S39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4.1.1.13.b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 / disposal review queue (+ 1 more)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S40, S41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4.1.1.14.c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POPIA / PAIA dashboard (+ 1 more)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S42, S43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4.1.1.14.e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4.1.1.14.f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Per-user activity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4.1.1.14.g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integrity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4.1.1.14.h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clause 2 + 4.1.3.1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</w:t>
            </w:r>
            <w:r>
              <w:t xml:space="preserve"> </w:t>
            </w:r>
            <w:r>
              <w:t xml:space="preserve">“</w:t>
            </w:r>
            <w:r>
              <w:t xml:space="preserve">one instance</w:t>
            </w:r>
            <w:r>
              <w:t xml:space="preserve">”</w:t>
            </w:r>
            <w:r>
              <w:t xml:space="preserve"> </w:t>
            </w: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 plugin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exceeds (OAIS)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OAIS-aligned SIP / AIP / DIP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exceeds (IIIF)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viewer for digitised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exceeds 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delivery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exceeds (UX)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/ mobile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exceeds (backup)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&amp; restore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X6</w:t>
            </w:r>
          </w:p>
        </w:tc>
      </w:tr>
    </w:tbl>
    <w:bookmarkEnd w:id="20"/>
    <w:bookmarkStart w:id="24" w:name="Xb6bb182a88124579145a3a065b0f88c491045e7"/>
    <w:p>
      <w:pPr>
        <w:pStyle w:val="Heading2"/>
      </w:pPr>
      <w:r>
        <w:t xml:space="preserve">S1 — 4.1.1.1 — SharePoint auto-ingest rules — list view</w:t>
      </w:r>
    </w:p>
    <w:p>
      <w:pPr>
        <w:pStyle w:val="FirstParagraph"/>
      </w:pPr>
      <w:r>
        <w:t xml:space="preserve">Operator-managed inventory of SharePoint drive sweep rules. Each row shows the drive, the file/path pattern, the cron schedule and the count of items ingested on the last run. Demonstrates automation, not manual upload.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1" title="" id="22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1-sharepoint-rules-lis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S1</w:t>
      </w:r>
    </w:p>
    <w:p>
      <w:pPr>
        <w:pStyle w:val="BodyText"/>
      </w:pPr>
      <w:r>
        <w:rPr>
          <w:rStyle w:val="VerbatimChar"/>
        </w:rPr>
        <w:t xml:space="preserve">S1-sharepoint-rules-list.png</w:t>
      </w:r>
    </w:p>
    <w:bookmarkEnd w:id="24"/>
    <w:bookmarkStart w:id="28" w:name="s2-4.1.1.1-sharepoint-rule-edit-form"/>
    <w:p>
      <w:pPr>
        <w:pStyle w:val="Heading2"/>
      </w:pPr>
      <w:r>
        <w:t xml:space="preserve">S2 — 4.1.1.1 — SharePoint rule — edit form</w:t>
      </w:r>
    </w:p>
    <w:p>
      <w:pPr>
        <w:pStyle w:val="FirstParagraph"/>
      </w:pPr>
      <w:r>
        <w:t xml:space="preserve">Per-rule configuration: target drive, folder path, glob pattern, Microsoft Purview retention-label filter, mapping template, cron schedule. Mapping templates link Purview labels to AtoM dispositions.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2" title="" id="26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2-sharepoint-rule-edi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S2</w:t>
      </w:r>
    </w:p>
    <w:p>
      <w:pPr>
        <w:pStyle w:val="BodyText"/>
      </w:pPr>
      <w:r>
        <w:rPr>
          <w:rStyle w:val="VerbatimChar"/>
        </w:rPr>
        <w:t xml:space="preserve">S2-sharepoint-rule-edit.png</w:t>
      </w:r>
    </w:p>
    <w:bookmarkEnd w:id="28"/>
    <w:bookmarkStart w:id="32" w:name="s3-4.1.1.1-live-auto-ingest-cli-evidence"/>
    <w:p>
      <w:pPr>
        <w:pStyle w:val="Heading2"/>
      </w:pPr>
      <w:r>
        <w:t xml:space="preserve">S3 — 4.1.1.1 — Live auto-ingest CLI evidence</w:t>
      </w:r>
    </w:p>
    <w:p>
      <w:pPr>
        <w:pStyle w:val="FirstParagraph"/>
      </w:pPr>
      <w:r>
        <w:t xml:space="preserve">Console output from</w:t>
      </w:r>
      <w:r>
        <w:t xml:space="preserve"> </w:t>
      </w:r>
      <w:r>
        <w:rPr>
          <w:rStyle w:val="VerbatimChar"/>
        </w:rPr>
        <w:t xml:space="preserve">php symfony sharepoint:auto-ingest --rule=1</w:t>
      </w:r>
      <w:r>
        <w:t xml:space="preserve"> </w:t>
      </w:r>
      <w:r>
        <w:t xml:space="preserve">showing 12 new items found, queued as job 991, no throttling, 4.8 s duration. Proves the workflow runs end-to-end.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3" title="" id="30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3-sharepoint-auto-ingest-cli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S3</w:t>
      </w:r>
    </w:p>
    <w:p>
      <w:pPr>
        <w:pStyle w:val="BodyText"/>
      </w:pPr>
      <w:r>
        <w:rPr>
          <w:rStyle w:val="VerbatimChar"/>
        </w:rPr>
        <w:t xml:space="preserve">S3-sharepoint-auto-ingest-cli.png</w:t>
      </w:r>
    </w:p>
    <w:bookmarkEnd w:id="32"/>
    <w:bookmarkStart w:id="36" w:name="X3d40ada08f7aae4d77540402204b5e79690c26b"/>
    <w:p>
      <w:pPr>
        <w:pStyle w:val="Heading2"/>
      </w:pPr>
      <w:r>
        <w:t xml:space="preserve">S4 — 4.1.1.2 — Record sourced from SharePoint</w:t>
      </w:r>
    </w:p>
    <w:p>
      <w:pPr>
        <w:pStyle w:val="FirstParagraph"/>
      </w:pPr>
      <w:r>
        <w:t xml:space="preserve">AtoM information-object detail page for a record whose payload originated in SharePoint Online. Sidebar shows</w:t>
      </w:r>
      <w:r>
        <w:t xml:space="preserve"> </w:t>
      </w:r>
      <w:r>
        <w:rPr>
          <w:rStyle w:val="VerbatimChar"/>
        </w:rPr>
        <w:t xml:space="preserve">sp_drive_id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sp_item_id</w:t>
      </w:r>
      <w:r>
        <w:t xml:space="preserve"> </w:t>
      </w:r>
      <w:r>
        <w:t xml:space="preserve">and a back-link to the live SP item.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4" title="" id="34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4-record-from-sharepoin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S4</w:t>
      </w:r>
    </w:p>
    <w:p>
      <w:pPr>
        <w:pStyle w:val="BodyText"/>
      </w:pPr>
      <w:r>
        <w:rPr>
          <w:rStyle w:val="VerbatimChar"/>
        </w:rPr>
        <w:t xml:space="preserve">S4-record-from-sharepoint.png</w:t>
      </w:r>
    </w:p>
    <w:bookmarkEnd w:id="36"/>
    <w:bookmarkStart w:id="40" w:name="X28591d5776a11d36557ed4aa74d1c717237a530"/>
    <w:p>
      <w:pPr>
        <w:pStyle w:val="Heading2"/>
      </w:pPr>
      <w:r>
        <w:t xml:space="preserve">S5 — 4.1.1.3 — Authenticated retrieval — login screen</w:t>
      </w:r>
    </w:p>
    <w:p>
      <w:pPr>
        <w:pStyle w:val="FirstParagraph"/>
      </w:pPr>
      <w:r>
        <w:t xml:space="preserve">AtoM login form (email + password). Demonstrates that record retrieval is gated by authentication. Combined with TLS evidence (S29), satisfies the secure-retrieval clause.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5" title="" id="38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5-secure-retrieval-logi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S5</w:t>
      </w:r>
    </w:p>
    <w:p>
      <w:pPr>
        <w:pStyle w:val="BodyText"/>
      </w:pPr>
      <w:r>
        <w:rPr>
          <w:rStyle w:val="VerbatimChar"/>
        </w:rPr>
        <w:t xml:space="preserve">S5-secure-retrieval-login.png</w:t>
      </w:r>
    </w:p>
    <w:bookmarkEnd w:id="40"/>
    <w:bookmarkStart w:id="44" w:name="X8a5af8b0cb15b231884e6da5629987c2c2533cc"/>
    <w:p>
      <w:pPr>
        <w:pStyle w:val="Heading2"/>
      </w:pPr>
      <w:r>
        <w:t xml:space="preserve">S6 — 4.1.1.3 — Record view with version-history banner</w:t>
      </w:r>
    </w:p>
    <w:p>
      <w:pPr>
        <w:pStyle w:val="FirstParagraph"/>
      </w:pPr>
      <w:r>
        <w:t xml:space="preserve">Top of an information-object view page showing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Version history (1)</w:t>
      </w:r>
      <w:r>
        <w:rPr>
          <w:bCs/>
          <w:b/>
        </w:rPr>
        <w:t xml:space="preserve">”</w:t>
      </w:r>
      <w:r>
        <w:t xml:space="preserve"> </w:t>
      </w:r>
      <w:r>
        <w:t xml:space="preserve">badge and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Share this record</w:t>
      </w:r>
      <w:r>
        <w:rPr>
          <w:bCs/>
          <w:b/>
        </w:rPr>
        <w:t xml:space="preserve">”</w:t>
      </w:r>
      <w:r>
        <w:t xml:space="preserve"> </w:t>
      </w:r>
      <w:r>
        <w:t xml:space="preserve">button injected by the AHG plugins. Tracking + sharing surface alongside the standard AtoM chrome.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6" title="" id="42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6-record-tracking-tab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S6</w:t>
      </w:r>
    </w:p>
    <w:p>
      <w:pPr>
        <w:pStyle w:val="BodyText"/>
      </w:pPr>
      <w:r>
        <w:rPr>
          <w:rStyle w:val="VerbatimChar"/>
        </w:rPr>
        <w:t xml:space="preserve">S6-record-tracking-tab.png</w:t>
      </w:r>
    </w:p>
    <w:bookmarkEnd w:id="44"/>
    <w:bookmarkStart w:id="48" w:name="s7-4.1.1.3-version-diff-word-level"/>
    <w:p>
      <w:pPr>
        <w:pStyle w:val="Heading2"/>
      </w:pPr>
      <w:r>
        <w:t xml:space="preserve">S7 — 4.1.1.3 — Version diff — word-level</w:t>
      </w:r>
    </w:p>
    <w:p>
      <w:pPr>
        <w:pStyle w:val="FirstParagraph"/>
      </w:pPr>
      <w:r>
        <w:t xml:space="preserve">Side-by-side comparison of versions 3 and 5 of a record. Word-level LCS diff with green inserts and red strikethrough deletions per field. Powered by</w:t>
      </w:r>
      <w:r>
        <w:t xml:space="preserve"> </w:t>
      </w:r>
      <w:r>
        <w:rPr>
          <w:rStyle w:val="VerbatimChar"/>
        </w:rPr>
        <w:t xml:space="preserve">AhgVersionControl\Services\DiffComputer</w:t>
      </w:r>
      <w:r>
        <w:t xml:space="preserve">.</w:t>
      </w:r>
    </w:p>
    <w:p>
      <w:pPr>
        <w:pStyle w:val="CaptionedFigure"/>
      </w:pPr>
      <w:r>
        <w:drawing>
          <wp:inline>
            <wp:extent cx="5334000" cy="3254573"/>
            <wp:effectExtent b="0" l="0" r="0" t="0"/>
            <wp:docPr descr="S7" title="" id="46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7-version-diff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4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S7</w:t>
      </w:r>
    </w:p>
    <w:p>
      <w:pPr>
        <w:pStyle w:val="BodyText"/>
      </w:pPr>
      <w:r>
        <w:rPr>
          <w:rStyle w:val="VerbatimChar"/>
        </w:rPr>
        <w:t xml:space="preserve">S7-version-diff.png</w:t>
      </w:r>
    </w:p>
    <w:bookmarkEnd w:id="48"/>
    <w:bookmarkStart w:id="52" w:name="s8-4.1.1.3-version-restore-admin-entry"/>
    <w:p>
      <w:pPr>
        <w:pStyle w:val="Heading2"/>
      </w:pPr>
      <w:r>
        <w:t xml:space="preserve">S8 — 4.1.1.3 — Version restore — admin entry</w:t>
      </w:r>
    </w:p>
    <w:p>
      <w:pPr>
        <w:pStyle w:val="FirstParagraph"/>
      </w:pPr>
      <w:r>
        <w:t xml:space="preserve">Version-history page with a</w:t>
      </w:r>
      <w:r>
        <w:t xml:space="preserve"> </w:t>
      </w:r>
      <w:r>
        <w:t xml:space="preserve">“</w:t>
      </w:r>
      <w:r>
        <w:t xml:space="preserve">Restore this version</w:t>
      </w:r>
      <w:r>
        <w:t xml:space="preserve">”</w:t>
      </w:r>
      <w:r>
        <w:t xml:space="preserve"> </w:t>
      </w:r>
      <w:r>
        <w:t xml:space="preserve">button. Restoring creates a new version row tagged</w:t>
      </w:r>
      <w:r>
        <w:t xml:space="preserve"> </w:t>
      </w:r>
      <w:r>
        <w:rPr>
          <w:rStyle w:val="VerbatimChar"/>
        </w:rPr>
        <w:t xml:space="preserve">is_restore=1</w:t>
      </w:r>
      <w:r>
        <w:t xml:space="preserve"> </w:t>
      </w:r>
      <w:r>
        <w:t xml:space="preserve">so the history itself is not lost.</w:t>
      </w:r>
    </w:p>
    <w:p>
      <w:pPr>
        <w:pStyle w:val="CaptionedFigure"/>
      </w:pPr>
      <w:r>
        <w:drawing>
          <wp:inline>
            <wp:extent cx="5334000" cy="3458765"/>
            <wp:effectExtent b="0" l="0" r="0" t="0"/>
            <wp:docPr descr="S8" title="" id="50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8-version-restor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8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S8</w:t>
      </w:r>
    </w:p>
    <w:p>
      <w:pPr>
        <w:pStyle w:val="BodyText"/>
      </w:pPr>
      <w:r>
        <w:rPr>
          <w:rStyle w:val="VerbatimChar"/>
        </w:rPr>
        <w:t xml:space="preserve">S8-version-restore.png</w:t>
      </w:r>
    </w:p>
    <w:bookmarkEnd w:id="52"/>
    <w:bookmarkStart w:id="56" w:name="X346d8a5f257f1e1f954df2b0d3ab065b7c6dcde"/>
    <w:p>
      <w:pPr>
        <w:pStyle w:val="Heading2"/>
      </w:pPr>
      <w:r>
        <w:t xml:space="preserve">S9 — 4.1.1.4 — Metadata cross-reference SP ⇄ AtoM</w:t>
      </w:r>
    </w:p>
    <w:p>
      <w:pPr>
        <w:pStyle w:val="FirstParagraph"/>
      </w:pPr>
      <w:r>
        <w:t xml:space="preserve">Information-object record with a sidebar block linking back to the active source in SharePoint. Cross-reference fields persist on both sides so neither store loses provenance.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9" title="" id="54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9-metadata-linkag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S9</w:t>
      </w:r>
    </w:p>
    <w:p>
      <w:pPr>
        <w:pStyle w:val="BodyText"/>
      </w:pPr>
      <w:r>
        <w:rPr>
          <w:rStyle w:val="VerbatimChar"/>
        </w:rPr>
        <w:t xml:space="preserve">S9-metadata-linkage.png</w:t>
      </w:r>
    </w:p>
    <w:bookmarkEnd w:id="56"/>
    <w:bookmarkStart w:id="60" w:name="s10-4.1.1.5-ingest-wizard-step-2-upload"/>
    <w:p>
      <w:pPr>
        <w:pStyle w:val="Heading2"/>
      </w:pPr>
      <w:r>
        <w:t xml:space="preserve">S10 — 4.1.1.5 — Ingest wizard — step 2 (upload)</w:t>
      </w:r>
    </w:p>
    <w:p>
      <w:pPr>
        <w:pStyle w:val="FirstParagraph"/>
      </w:pPr>
      <w:r>
        <w:t xml:space="preserve">Six-step OAIS-aligned ingest wizard. Step 2 accepts CSV, ZIP, EAD or a</w:t>
      </w:r>
      <w:r>
        <w:t xml:space="preserve"> </w:t>
      </w:r>
      <w:r>
        <w:t xml:space="preserve">“</w:t>
      </w:r>
      <w:r>
        <w:t xml:space="preserve">From SharePoint</w:t>
      </w:r>
      <w:r>
        <w:t xml:space="preserve">”</w:t>
      </w:r>
      <w:r>
        <w:t xml:space="preserve"> </w:t>
      </w:r>
      <w:r>
        <w:t xml:space="preserve">tab; downstream steps handle field mapping, validation, preview and commit.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10" title="" id="58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10-batch-upload-wizard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S10</w:t>
      </w:r>
    </w:p>
    <w:p>
      <w:pPr>
        <w:pStyle w:val="BodyText"/>
      </w:pPr>
      <w:r>
        <w:rPr>
          <w:rStyle w:val="VerbatimChar"/>
        </w:rPr>
        <w:t xml:space="preserve">S10-batch-upload-wizard.png</w:t>
      </w:r>
    </w:p>
    <w:bookmarkEnd w:id="60"/>
    <w:bookmarkStart w:id="64" w:name="s11-4.1.1.5-ingest-sessions-index"/>
    <w:p>
      <w:pPr>
        <w:pStyle w:val="Heading2"/>
      </w:pPr>
      <w:r>
        <w:t xml:space="preserve">S11 — 4.1.1.5 — Ingest sessions index</w:t>
      </w:r>
    </w:p>
    <w:p>
      <w:pPr>
        <w:pStyle w:val="FirstParagraph"/>
      </w:pPr>
      <w:r>
        <w:t xml:space="preserve">List of ingest sessions with status, sector, record count, started-by and duration. Click into a session to see its job progress + commit log.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11" title="" id="62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11-ingest-job-statu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S11</w:t>
      </w:r>
    </w:p>
    <w:p>
      <w:pPr>
        <w:pStyle w:val="BodyText"/>
      </w:pPr>
      <w:r>
        <w:rPr>
          <w:rStyle w:val="VerbatimChar"/>
        </w:rPr>
        <w:t xml:space="preserve">S11-ingest-job-status.png</w:t>
      </w:r>
    </w:p>
    <w:bookmarkEnd w:id="64"/>
    <w:bookmarkStart w:id="68" w:name="Xedf361faf9575545616ae1be9a388a5c06c79f1"/>
    <w:p>
      <w:pPr>
        <w:pStyle w:val="Heading2"/>
      </w:pPr>
      <w:r>
        <w:t xml:space="preserve">S12 — 4.1.1.6 — Retention-label triggered archival</w:t>
      </w:r>
    </w:p>
    <w:p>
      <w:pPr>
        <w:pStyle w:val="FirstParagraph"/>
      </w:pPr>
      <w:r>
        <w:t xml:space="preserve">Auto-ingest rule edit form showing the</w:t>
      </w:r>
      <w:r>
        <w:t xml:space="preserve"> </w:t>
      </w:r>
      <w:r>
        <w:t xml:space="preserve">“</w:t>
      </w:r>
      <w:r>
        <w:t xml:space="preserve">Only items carrying specific Purview retention label(s)</w:t>
      </w:r>
      <w:r>
        <w:t xml:space="preserve">”</w:t>
      </w:r>
      <w:r>
        <w:t xml:space="preserve"> </w:t>
      </w:r>
      <w:r>
        <w:t xml:space="preserve">filter. Drives Purview-label-driven archival without operator intervention.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12" title="" id="66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12-retention-trigger-rul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S12</w:t>
      </w:r>
    </w:p>
    <w:p>
      <w:pPr>
        <w:pStyle w:val="BodyText"/>
      </w:pPr>
      <w:r>
        <w:rPr>
          <w:rStyle w:val="VerbatimChar"/>
        </w:rPr>
        <w:t xml:space="preserve">S12-retention-trigger-rule.png</w:t>
      </w:r>
    </w:p>
    <w:bookmarkEnd w:id="68"/>
    <w:bookmarkStart w:id="72" w:name="Xf16a22598b059ecebbb47118dae7980c6e28e0b"/>
    <w:p>
      <w:pPr>
        <w:pStyle w:val="Heading2"/>
      </w:pPr>
      <w:r>
        <w:t xml:space="preserve">S13 — 4.1.1.6 — AtoM v2 REST API — endpoint inventory</w:t>
      </w:r>
    </w:p>
    <w:p>
      <w:pPr>
        <w:pStyle w:val="FirstParagraph"/>
      </w:pPr>
      <w:r>
        <w:t xml:space="preserve">Full inventory of the v2 API: descriptions CRUD, search, conditions, assets, privacy DSARs, webhooks, API key management. Authenticated via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header.</w:t>
      </w:r>
    </w:p>
    <w:p>
      <w:pPr>
        <w:pStyle w:val="CaptionedFigure"/>
      </w:pPr>
      <w:r>
        <w:drawing>
          <wp:inline>
            <wp:extent cx="5334000" cy="3779639"/>
            <wp:effectExtent b="0" l="0" r="0" t="0"/>
            <wp:docPr descr="S13" title="" id="70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13-api-documentation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9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S13</w:t>
      </w:r>
    </w:p>
    <w:p>
      <w:pPr>
        <w:pStyle w:val="BodyText"/>
      </w:pPr>
      <w:r>
        <w:rPr>
          <w:rStyle w:val="VerbatimChar"/>
        </w:rPr>
        <w:t xml:space="preserve">S13-api-documentation.png</w:t>
      </w:r>
    </w:p>
    <w:bookmarkEnd w:id="72"/>
    <w:bookmarkStart w:id="76" w:name="Xff33a5aaa426b36e92b6e960852b3e0980ccc8d"/>
    <w:p>
      <w:pPr>
        <w:pStyle w:val="Heading2"/>
      </w:pPr>
      <w:r>
        <w:t xml:space="preserve">S14 — 4.1.1.7 — Dublin Core fields on record edit</w:t>
      </w:r>
    </w:p>
    <w:p>
      <w:pPr>
        <w:pStyle w:val="FirstParagraph"/>
      </w:pPr>
      <w:r>
        <w:t xml:space="preserve">All 15 Dublin Core elements rendered on the AtoM information-object edit form (identity, context, content, provenance &amp; rights). Persisted to</w:t>
      </w:r>
      <w:r>
        <w:t xml:space="preserve"> </w:t>
      </w:r>
      <w:r>
        <w:rPr>
          <w:rStyle w:val="VerbatimChar"/>
        </w:rPr>
        <w:t xml:space="preserve">information_object_i18n</w:t>
      </w:r>
      <w:r>
        <w:t xml:space="preserve">.</w:t>
      </w:r>
    </w:p>
    <w:p>
      <w:pPr>
        <w:pStyle w:val="CaptionedFigure"/>
      </w:pPr>
      <w:r>
        <w:drawing>
          <wp:inline>
            <wp:extent cx="5334000" cy="5479851"/>
            <wp:effectExtent b="0" l="0" r="0" t="0"/>
            <wp:docPr descr="S14" title="" id="74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14-dublin-core-field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9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S14</w:t>
      </w:r>
    </w:p>
    <w:p>
      <w:pPr>
        <w:pStyle w:val="BodyText"/>
      </w:pPr>
      <w:r>
        <w:rPr>
          <w:rStyle w:val="VerbatimChar"/>
        </w:rPr>
        <w:t xml:space="preserve">S14-dublin-core-fields.png</w:t>
      </w:r>
    </w:p>
    <w:bookmarkEnd w:id="76"/>
    <w:bookmarkStart w:id="80" w:name="s15-4.1.1.7-custom-fields-administration"/>
    <w:p>
      <w:pPr>
        <w:pStyle w:val="Heading2"/>
      </w:pPr>
      <w:r>
        <w:t xml:space="preserve">S15 — 4.1.1.7 — Custom Fields administration</w:t>
      </w:r>
    </w:p>
    <w:p>
      <w:pPr>
        <w:pStyle w:val="FirstParagraph"/>
      </w:pPr>
      <w:r>
        <w:t xml:space="preserve">GCIS-specific custom fields (Directorate code, file plan classification, originating department, retention category). Configured at</w:t>
      </w:r>
      <w:r>
        <w:t xml:space="preserve"> </w:t>
      </w:r>
      <w:r>
        <w:rPr>
          <w:rStyle w:val="VerbatimChar"/>
        </w:rPr>
        <w:t xml:space="preserve">/admin/customFields</w:t>
      </w:r>
      <w:r>
        <w:t xml:space="preserve"> </w:t>
      </w:r>
      <w:r>
        <w:t xml:space="preserve">via the EAV plugin — no code changes per field.</w:t>
      </w:r>
    </w:p>
    <w:p>
      <w:pPr>
        <w:pStyle w:val="CaptionedFigure"/>
      </w:pPr>
      <w:r>
        <w:drawing>
          <wp:inline>
            <wp:extent cx="5334000" cy="3217068"/>
            <wp:effectExtent b="0" l="0" r="0" t="0"/>
            <wp:docPr descr="S15" title="" id="78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15-custom-fields-admin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7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S15</w:t>
      </w:r>
    </w:p>
    <w:p>
      <w:pPr>
        <w:pStyle w:val="BodyText"/>
      </w:pPr>
      <w:r>
        <w:rPr>
          <w:rStyle w:val="VerbatimChar"/>
        </w:rPr>
        <w:t xml:space="preserve">S15-custom-fields-admin.png</w:t>
      </w:r>
    </w:p>
    <w:bookmarkEnd w:id="80"/>
    <w:bookmarkStart w:id="84" w:name="X9df84ef1b88cc1d64d1a725f242022e3a4eaf1d"/>
    <w:p>
      <w:pPr>
        <w:pStyle w:val="Heading2"/>
      </w:pPr>
      <w:r>
        <w:t xml:space="preserve">S16 — 4.1.1.7 — Custom field on a record edit form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GCIS Governance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Compliance</w:t>
      </w:r>
      <w:r>
        <w:t xml:space="preserve">”</w:t>
      </w:r>
      <w:r>
        <w:t xml:space="preserve"> </w:t>
      </w:r>
      <w:r>
        <w:t xml:space="preserve">custom-field sections rendered alongside the standard ISAD(G) / Dublin Core areas on a record-edit form. Values persist to</w:t>
      </w:r>
      <w:r>
        <w:t xml:space="preserve"> </w:t>
      </w:r>
      <w:r>
        <w:rPr>
          <w:rStyle w:val="VerbatimChar"/>
        </w:rPr>
        <w:t xml:space="preserve">custom_field_value</w:t>
      </w:r>
      <w:r>
        <w:t xml:space="preserve">.</w:t>
      </w:r>
    </w:p>
    <w:p>
      <w:pPr>
        <w:pStyle w:val="CaptionedFigure"/>
      </w:pPr>
      <w:r>
        <w:drawing>
          <wp:inline>
            <wp:extent cx="5334000" cy="3950493"/>
            <wp:effectExtent b="0" l="0" r="0" t="0"/>
            <wp:docPr descr="S16" title="" id="82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16-custom-field-on-record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0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S16</w:t>
      </w:r>
    </w:p>
    <w:p>
      <w:pPr>
        <w:pStyle w:val="BodyText"/>
      </w:pPr>
      <w:r>
        <w:rPr>
          <w:rStyle w:val="VerbatimChar"/>
        </w:rPr>
        <w:t xml:space="preserve">S16-custom-field-on-record.png</w:t>
      </w:r>
    </w:p>
    <w:bookmarkEnd w:id="84"/>
    <w:bookmarkStart w:id="88" w:name="X863745b6df9675b84d24ee6b5ac7ffa91344fa6"/>
    <w:p>
      <w:pPr>
        <w:pStyle w:val="Heading2"/>
      </w:pPr>
      <w:r>
        <w:t xml:space="preserve">S17 — 4.1.1.8 — Taxonomy import — file-plan tree</w:t>
      </w:r>
    </w:p>
    <w:p>
      <w:pPr>
        <w:pStyle w:val="FirstParagraph"/>
      </w:pPr>
      <w:r>
        <w:t xml:space="preserve">AtoM taxonomy view of an imported file plan hierarchy. Each node maps to GCIS directorate / function / record category and is selectable as the parent of an information object.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17" title="" id="86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17-gcis-file-plan-taxonomy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S17</w:t>
      </w:r>
    </w:p>
    <w:p>
      <w:pPr>
        <w:pStyle w:val="BodyText"/>
      </w:pPr>
      <w:r>
        <w:rPr>
          <w:rStyle w:val="VerbatimChar"/>
        </w:rPr>
        <w:t xml:space="preserve">S17-gcis-file-plan-taxonomy.png</w:t>
      </w:r>
    </w:p>
    <w:bookmarkEnd w:id="88"/>
    <w:bookmarkStart w:id="92" w:name="Xe2c981e4e3ea7fc4257d342b1ade8fb586ce89f"/>
    <w:p>
      <w:pPr>
        <w:pStyle w:val="Heading2"/>
      </w:pPr>
      <w:r>
        <w:t xml:space="preserve">S18 — 4.1.1.8 — Record placed under a file-plan node</w:t>
      </w:r>
    </w:p>
    <w:p>
      <w:pPr>
        <w:pStyle w:val="FirstParagraph"/>
      </w:pPr>
      <w:r>
        <w:t xml:space="preserve">Information-object detail page showing the record’s placement under its assigned file plan category in the hierarchy sidebar.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18" title="" id="90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18-records-by-file-plan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S18</w:t>
      </w:r>
    </w:p>
    <w:p>
      <w:pPr>
        <w:pStyle w:val="BodyText"/>
      </w:pPr>
      <w:r>
        <w:rPr>
          <w:rStyle w:val="VerbatimChar"/>
        </w:rPr>
        <w:t xml:space="preserve">S18-records-by-file-plan.png</w:t>
      </w:r>
    </w:p>
    <w:bookmarkEnd w:id="92"/>
    <w:bookmarkStart w:id="96" w:name="X8258f0b571edfc809ea7e900f26b6cd35ce0c0f"/>
    <w:p>
      <w:pPr>
        <w:pStyle w:val="Heading2"/>
      </w:pPr>
      <w:r>
        <w:t xml:space="preserve">S19 — 4.1.1.9 — Subject access points (tagging)</w:t>
      </w:r>
    </w:p>
    <w:p>
      <w:pPr>
        <w:pStyle w:val="FirstParagraph"/>
      </w:pPr>
      <w:r>
        <w:t xml:space="preserve">Record view with subject access points (controlled-vocabulary tags) listed in the right sidebar. Tags are indexed in Elasticsearch and faceted on search results.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19" title="" id="94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19-record-tags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S19</w:t>
      </w:r>
    </w:p>
    <w:p>
      <w:pPr>
        <w:pStyle w:val="BodyText"/>
      </w:pPr>
      <w:r>
        <w:rPr>
          <w:rStyle w:val="VerbatimChar"/>
        </w:rPr>
        <w:t xml:space="preserve">S19-record-tags.png</w:t>
      </w:r>
    </w:p>
    <w:bookmarkEnd w:id="96"/>
    <w:bookmarkStart w:id="100" w:name="Xa366c2eda3355ad428cf4e62d7dc5396c94e623"/>
    <w:p>
      <w:pPr>
        <w:pStyle w:val="Heading2"/>
      </w:pPr>
      <w:r>
        <w:t xml:space="preserve">S20 — 4.1.1.9 — Elasticsearch search results — facets visible</w:t>
      </w:r>
    </w:p>
    <w:p>
      <w:pPr>
        <w:pStyle w:val="FirstParagraph"/>
      </w:pPr>
      <w:r>
        <w:t xml:space="preserve">Search results page showing faceted filters on the left (level of description, repository, date, type) and ranked hits. Demonstrates working ES indexing.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20" title="" id="98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20-elasticsearch-indexing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S20</w:t>
      </w:r>
    </w:p>
    <w:p>
      <w:pPr>
        <w:pStyle w:val="BodyText"/>
      </w:pPr>
      <w:r>
        <w:rPr>
          <w:rStyle w:val="VerbatimChar"/>
        </w:rPr>
        <w:t xml:space="preserve">S20-elasticsearch-indexing.png</w:t>
      </w:r>
    </w:p>
    <w:bookmarkEnd w:id="100"/>
    <w:bookmarkStart w:id="104" w:name="X81cb03d350ece2181063b4b396d9058c75a5604"/>
    <w:p>
      <w:pPr>
        <w:pStyle w:val="Heading2"/>
      </w:pPr>
      <w:r>
        <w:t xml:space="preserve">S21 — 4.1.1.9 — Version control — numbered version list</w:t>
      </w:r>
    </w:p>
    <w:p>
      <w:pPr>
        <w:pStyle w:val="FirstParagraph"/>
      </w:pPr>
      <w:r>
        <w:t xml:space="preserve">Version history page for a record: numbered versions with timestamps, authors, summaries and</w:t>
      </w:r>
      <w:r>
        <w:t xml:space="preserve"> </w:t>
      </w:r>
      <w:r>
        <w:t xml:space="preserve">“</w:t>
      </w:r>
      <w:r>
        <w:t xml:space="preserve">View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Compare</w:t>
      </w:r>
      <w:r>
        <w:t xml:space="preserve">”</w:t>
      </w:r>
      <w:r>
        <w:t xml:space="preserve"> </w:t>
      </w:r>
      <w:r>
        <w:t xml:space="preserve">actions. List view drives the diff (S7) and restore (S8) flows.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21" title="" id="102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21-version-control-list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S21</w:t>
      </w:r>
    </w:p>
    <w:p>
      <w:pPr>
        <w:pStyle w:val="BodyText"/>
      </w:pPr>
      <w:r>
        <w:rPr>
          <w:rStyle w:val="VerbatimChar"/>
        </w:rPr>
        <w:t xml:space="preserve">S21-version-control-list.png</w:t>
      </w:r>
    </w:p>
    <w:bookmarkEnd w:id="104"/>
    <w:bookmarkStart w:id="108" w:name="s22-4.1.1.10.a-full-text-search"/>
    <w:p>
      <w:pPr>
        <w:pStyle w:val="Heading2"/>
      </w:pPr>
      <w:r>
        <w:t xml:space="preserve">S22 — 4.1.1.10.a — Full-text search</w:t>
      </w:r>
    </w:p>
    <w:p>
      <w:pPr>
        <w:pStyle w:val="FirstParagraph"/>
      </w:pPr>
      <w:r>
        <w:t xml:space="preserve">Search results matching a term that appears inside an OCR’d body, not just metadata. Proves the search is full-text against Elasticsearch, not table-scan.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22" title="" id="106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22-full-text-search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S22</w:t>
      </w:r>
    </w:p>
    <w:p>
      <w:pPr>
        <w:pStyle w:val="BodyText"/>
      </w:pPr>
      <w:r>
        <w:rPr>
          <w:rStyle w:val="VerbatimChar"/>
        </w:rPr>
        <w:t xml:space="preserve">S22-full-text-search.png</w:t>
      </w:r>
    </w:p>
    <w:bookmarkEnd w:id="108"/>
    <w:bookmarkStart w:id="112" w:name="X932da35f1a661867f8db5f7636f397c8edae100"/>
    <w:p>
      <w:pPr>
        <w:pStyle w:val="Heading2"/>
      </w:pPr>
      <w:r>
        <w:t xml:space="preserve">S23 — 4.1.1.10.a — Advanced search — multi-filter form</w:t>
      </w:r>
    </w:p>
    <w:p>
      <w:pPr>
        <w:pStyle w:val="FirstParagraph"/>
      </w:pPr>
      <w:r>
        <w:t xml:space="preserve">Advanced search form with combined filters: query, date range, level of description, repository, digital-object presence, classification.</w:t>
      </w:r>
    </w:p>
    <w:p>
      <w:pPr>
        <w:pStyle w:val="CaptionedFigure"/>
      </w:pPr>
      <w:r>
        <w:drawing>
          <wp:inline>
            <wp:extent cx="5334000" cy="7463432"/>
            <wp:effectExtent b="0" l="0" r="0" t="0"/>
            <wp:docPr descr="S23" title="" id="110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23-advanced-search-filters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63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S23</w:t>
      </w:r>
    </w:p>
    <w:p>
      <w:pPr>
        <w:pStyle w:val="BodyText"/>
      </w:pPr>
      <w:r>
        <w:rPr>
          <w:rStyle w:val="VerbatimChar"/>
        </w:rPr>
        <w:t xml:space="preserve">S23-advanced-search-filters.png</w:t>
      </w:r>
    </w:p>
    <w:bookmarkEnd w:id="112"/>
    <w:bookmarkStart w:id="116" w:name="Xeb16585a14fd7755f8a839f3d5e673cb6c10829"/>
    <w:p>
      <w:pPr>
        <w:pStyle w:val="Heading2"/>
      </w:pPr>
      <w:r>
        <w:t xml:space="preserve">S24 — 4.1.1.10 — Federated search — AtoM + SharePoint (exceeds)</w:t>
      </w:r>
    </w:p>
    <w:p>
      <w:pPr>
        <w:pStyle w:val="FirstParagraph"/>
      </w:pPr>
      <w:r>
        <w:t xml:space="preserve">Single search box returning ranked hits from</w:t>
      </w:r>
      <w:r>
        <w:t xml:space="preserve"> </w:t>
      </w:r>
      <w:r>
        <w:rPr>
          <w:bCs/>
          <w:b/>
        </w:rPr>
        <w:t xml:space="preserve">AtoM (archived)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SharePoint Online (active)</w:t>
      </w:r>
      <w:r>
        <w:t xml:space="preserve"> </w:t>
      </w:r>
      <w:r>
        <w:t xml:space="preserve">with source-attribution badges and dedupe pills. Powers the</w:t>
      </w:r>
      <w:r>
        <w:t xml:space="preserve"> </w:t>
      </w:r>
      <w:r>
        <w:t xml:space="preserve">“</w:t>
      </w:r>
      <w:r>
        <w:t xml:space="preserve">one search, two stores</w:t>
      </w:r>
      <w:r>
        <w:t xml:space="preserve">”</w:t>
      </w:r>
      <w:r>
        <w:t xml:space="preserve"> </w:t>
      </w:r>
      <w:r>
        <w:t xml:space="preserve">experience.</w:t>
      </w:r>
    </w:p>
    <w:p>
      <w:pPr>
        <w:pStyle w:val="CaptionedFigure"/>
      </w:pPr>
      <w:r>
        <w:drawing>
          <wp:inline>
            <wp:extent cx="5334000" cy="3946326"/>
            <wp:effectExtent b="0" l="0" r="0" t="0"/>
            <wp:docPr descr="S24" title="" id="114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24-federated-search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6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S24</w:t>
      </w:r>
    </w:p>
    <w:p>
      <w:pPr>
        <w:pStyle w:val="BodyText"/>
      </w:pPr>
      <w:r>
        <w:rPr>
          <w:rStyle w:val="VerbatimChar"/>
        </w:rPr>
        <w:t xml:space="preserve">S24-federated-search.png</w:t>
      </w:r>
    </w:p>
    <w:bookmarkEnd w:id="116"/>
    <w:bookmarkStart w:id="120" w:name="X691a748cc553d5e80db201bea5f1547c5619ae4"/>
    <w:p>
      <w:pPr>
        <w:pStyle w:val="Heading2"/>
      </w:pPr>
      <w:r>
        <w:t xml:space="preserve">S25 — 4.1.1.10.b — Quick retrieval — response time visible</w:t>
      </w:r>
    </w:p>
    <w:p>
      <w:pPr>
        <w:pStyle w:val="FirstParagraph"/>
      </w:pPr>
      <w:r>
        <w:t xml:space="preserve">Search results header showing</w:t>
      </w:r>
      <w:r>
        <w:t xml:space="preserve"> </w:t>
      </w:r>
      <w:r>
        <w:t xml:space="preserve">“</w:t>
      </w:r>
      <w:r>
        <w:t xml:space="preserve">12 results in 80 ms</w:t>
      </w:r>
      <w:r>
        <w:t xml:space="preserve">”</w:t>
      </w:r>
      <w:r>
        <w:t xml:space="preserve"> </w:t>
      </w:r>
      <w:r>
        <w:t xml:space="preserve">— demonstrates sub-second retrieval performance at typical collection sizes.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25" title="" id="118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25-quick-retrieval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S25</w:t>
      </w:r>
    </w:p>
    <w:p>
      <w:pPr>
        <w:pStyle w:val="BodyText"/>
      </w:pPr>
      <w:r>
        <w:rPr>
          <w:rStyle w:val="VerbatimChar"/>
        </w:rPr>
        <w:t xml:space="preserve">S25-quick-retrieval.png</w:t>
      </w:r>
    </w:p>
    <w:bookmarkEnd w:id="120"/>
    <w:bookmarkStart w:id="124" w:name="Xa600afdf09c2777166bb0d303cec0bf8df1c0d8"/>
    <w:p>
      <w:pPr>
        <w:pStyle w:val="Heading2"/>
      </w:pPr>
      <w:r>
        <w:t xml:space="preserve">S26 — 4.1.1.11 — Record link to active SharePoint item</w:t>
      </w:r>
    </w:p>
    <w:p>
      <w:pPr>
        <w:pStyle w:val="FirstParagraph"/>
      </w:pPr>
      <w:r>
        <w:t xml:space="preserve">Information-object sidebar with a</w:t>
      </w:r>
      <w:r>
        <w:t xml:space="preserve"> </w:t>
      </w:r>
      <w:r>
        <w:t xml:space="preserve">“</w:t>
      </w:r>
      <w:r>
        <w:t xml:space="preserve">View active record in SharePoint</w:t>
      </w:r>
      <w:r>
        <w:t xml:space="preserve">”</w:t>
      </w:r>
      <w:r>
        <w:t xml:space="preserve"> </w:t>
      </w:r>
      <w:r>
        <w:t xml:space="preserve">button that deep-links to the live SP item. Round-trips Purview-managed active records to AtoM-managed archived records.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26" title="" id="122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26-link-to-active-record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S26</w:t>
      </w:r>
    </w:p>
    <w:p>
      <w:pPr>
        <w:pStyle w:val="BodyText"/>
      </w:pPr>
      <w:r>
        <w:rPr>
          <w:rStyle w:val="VerbatimChar"/>
        </w:rPr>
        <w:t xml:space="preserve">S26-link-to-active-record.png</w:t>
      </w:r>
    </w:p>
    <w:bookmarkEnd w:id="124"/>
    <w:bookmarkStart w:id="128" w:name="s27-4.1.1.12.a-rbac-groups-list"/>
    <w:p>
      <w:pPr>
        <w:pStyle w:val="Heading2"/>
      </w:pPr>
      <w:r>
        <w:t xml:space="preserve">S27 — 4.1.1.12.a — RBAC groups list</w:t>
      </w:r>
    </w:p>
    <w:p>
      <w:pPr>
        <w:pStyle w:val="FirstParagraph"/>
      </w:pPr>
      <w:r>
        <w:t xml:space="preserve">AtoM ACL groups: Administrator, Editor, Contributor, Translator plus AHG additions. Each group is a role bundle; users get capabilities by membership.</w:t>
      </w:r>
    </w:p>
    <w:p>
      <w:pPr>
        <w:pStyle w:val="CaptionedFigure"/>
      </w:pPr>
      <w:r>
        <w:drawing>
          <wp:inline>
            <wp:extent cx="5334000" cy="3712964"/>
            <wp:effectExtent b="0" l="0" r="0" t="0"/>
            <wp:docPr descr="S27" title="" id="126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27-rbac-groups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2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S27</w:t>
      </w:r>
    </w:p>
    <w:p>
      <w:pPr>
        <w:pStyle w:val="BodyText"/>
      </w:pPr>
      <w:r>
        <w:rPr>
          <w:rStyle w:val="VerbatimChar"/>
        </w:rPr>
        <w:t xml:space="preserve">S27-rbac-groups.png</w:t>
      </w:r>
    </w:p>
    <w:bookmarkEnd w:id="128"/>
    <w:bookmarkStart w:id="132" w:name="s28-4.1.1.12.a-rbac-permissions-matrix"/>
    <w:p>
      <w:pPr>
        <w:pStyle w:val="Heading2"/>
      </w:pPr>
      <w:r>
        <w:t xml:space="preserve">S28 — 4.1.1.12.a — RBAC permissions matrix</w:t>
      </w:r>
    </w:p>
    <w:p>
      <w:pPr>
        <w:pStyle w:val="FirstParagraph"/>
      </w:pPr>
      <w:r>
        <w:t xml:space="preserve">Per-group permission matrix: read / create / update / delete / publish per module + repository. The matrix is the operator-facing surface of the</w:t>
      </w:r>
      <w:r>
        <w:t xml:space="preserve"> </w:t>
      </w:r>
      <w:r>
        <w:rPr>
          <w:rStyle w:val="VerbatimChar"/>
        </w:rPr>
        <w:t xml:space="preserve">acl_permission</w:t>
      </w:r>
      <w:r>
        <w:t xml:space="preserve"> </w:t>
      </w:r>
      <w:r>
        <w:t xml:space="preserve">table.</w:t>
      </w:r>
    </w:p>
    <w:p>
      <w:pPr>
        <w:pStyle w:val="CaptionedFigure"/>
      </w:pPr>
      <w:r>
        <w:drawing>
          <wp:inline>
            <wp:extent cx="5334000" cy="3712964"/>
            <wp:effectExtent b="0" l="0" r="0" t="0"/>
            <wp:docPr descr="S28" title="" id="130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28-rbac-permissions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2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S28</w:t>
      </w:r>
    </w:p>
    <w:p>
      <w:pPr>
        <w:pStyle w:val="BodyText"/>
      </w:pPr>
      <w:r>
        <w:rPr>
          <w:rStyle w:val="VerbatimChar"/>
        </w:rPr>
        <w:t xml:space="preserve">S28-rbac-permissions.png</w:t>
      </w:r>
    </w:p>
    <w:bookmarkEnd w:id="132"/>
    <w:bookmarkStart w:id="136" w:name="Xda52d2b006ec1847047cdd528ce20482d73a714"/>
    <w:p>
      <w:pPr>
        <w:pStyle w:val="Heading2"/>
      </w:pPr>
      <w:r>
        <w:t xml:space="preserve">S29 — 4.1.1.12.b — TLS encryption in transit (manual)</w:t>
      </w:r>
    </w:p>
    <w:p>
      <w:pPr>
        <w:pStyle w:val="FirstParagraph"/>
      </w:pPr>
      <w:r>
        <w:t xml:space="preserve">Browser address bar with HTTPS lock icon over the PSIS instance. Manual capture — browser chrome is outside the Playwright viewport.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29" title="" id="134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29-tls-encryption-MANUAL-REQUIRED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S29</w:t>
      </w:r>
    </w:p>
    <w:p>
      <w:pPr>
        <w:pStyle w:val="BodyText"/>
      </w:pPr>
      <w:r>
        <w:rPr>
          <w:rStyle w:val="VerbatimChar"/>
        </w:rPr>
        <w:t xml:space="preserve">S29-tls-encryption-MANUAL-REQUIRED.png</w:t>
      </w:r>
    </w:p>
    <w:bookmarkEnd w:id="136"/>
    <w:bookmarkStart w:id="140" w:name="X129a8117f911dd07651216748fc55c322d44b50"/>
    <w:p>
      <w:pPr>
        <w:pStyle w:val="Heading2"/>
      </w:pPr>
      <w:r>
        <w:t xml:space="preserve">S30 — 4.1.1.12.b — Encryption at rest — SITA brief (manual)</w:t>
      </w:r>
    </w:p>
    <w:p>
      <w:pPr>
        <w:pStyle w:val="FirstParagraph"/>
      </w:pPr>
      <w:r>
        <w:t xml:space="preserve">SITA Private Cloud Foundation Infrastructure service brief confirming AES-256 encryption at rest. Sourced from SITA documentation — to be inserted by the bid team.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30" title="" id="138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30-sita-encryption-at-rest-MANUAL-REQUIRED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S30</w:t>
      </w:r>
    </w:p>
    <w:p>
      <w:pPr>
        <w:pStyle w:val="BodyText"/>
      </w:pPr>
      <w:r>
        <w:rPr>
          <w:rStyle w:val="VerbatimChar"/>
        </w:rPr>
        <w:t xml:space="preserve">S30-sita-encryption-at-rest-MANUAL-REQUIRED.png</w:t>
      </w:r>
    </w:p>
    <w:bookmarkEnd w:id="140"/>
    <w:bookmarkStart w:id="144" w:name="X85f0ae9f9017e0d67c25209ac7281cf56ff8599"/>
    <w:p>
      <w:pPr>
        <w:pStyle w:val="Heading2"/>
      </w:pPr>
      <w:r>
        <w:t xml:space="preserve">S31 — 4.1.1.12.c — MISS classification on record edit</w:t>
      </w:r>
    </w:p>
    <w:p>
      <w:pPr>
        <w:pStyle w:val="FirstParagraph"/>
      </w:pPr>
      <w:r>
        <w:t xml:space="preserve">Security classification section on the record edit form: level (Unclassified … Top Secret), classifying authority, MISS §5.1 reason code, review-by date. Persists to</w:t>
      </w:r>
      <w:r>
        <w:t xml:space="preserve"> </w:t>
      </w:r>
      <w:r>
        <w:rPr>
          <w:rStyle w:val="VerbatimChar"/>
        </w:rPr>
        <w:t xml:space="preserve">object_security_classification</w:t>
      </w:r>
      <w:r>
        <w:t xml:space="preserve">.</w:t>
      </w:r>
    </w:p>
    <w:p>
      <w:pPr>
        <w:pStyle w:val="CaptionedFigure"/>
      </w:pPr>
      <w:r>
        <w:drawing>
          <wp:inline>
            <wp:extent cx="5334000" cy="3829645"/>
            <wp:effectExtent b="0" l="0" r="0" t="0"/>
            <wp:docPr descr="S31" title="" id="142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31-miss-classification-edit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9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S31</w:t>
      </w:r>
    </w:p>
    <w:p>
      <w:pPr>
        <w:pStyle w:val="BodyText"/>
      </w:pPr>
      <w:r>
        <w:rPr>
          <w:rStyle w:val="VerbatimChar"/>
        </w:rPr>
        <w:t xml:space="preserve">S31-miss-classification-edit.png</w:t>
      </w:r>
    </w:p>
    <w:bookmarkEnd w:id="144"/>
    <w:bookmarkStart w:id="148" w:name="Xc2af527053e6fb34d658ccabcd6f88de2ae0b14"/>
    <w:p>
      <w:pPr>
        <w:pStyle w:val="Heading2"/>
      </w:pPr>
      <w:r>
        <w:t xml:space="preserve">S32 — 4.1.1.12.c — Access denied — over-classified record</w:t>
      </w:r>
    </w:p>
    <w:p>
      <w:pPr>
        <w:pStyle w:val="FirstParagraph"/>
      </w:pPr>
      <w:r>
        <w:t xml:space="preserve">Anonymous user receives a clean access-denied page when attempting to view a classified record. Demonstrates that the classification enforcement is reachable, not bypassable.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32" title="" id="146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32-classification-access-denied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S32</w:t>
      </w:r>
    </w:p>
    <w:p>
      <w:pPr>
        <w:pStyle w:val="BodyText"/>
      </w:pPr>
      <w:r>
        <w:rPr>
          <w:rStyle w:val="VerbatimChar"/>
        </w:rPr>
        <w:t xml:space="preserve">S32-classification-access-denied.png</w:t>
      </w:r>
    </w:p>
    <w:bookmarkEnd w:id="148"/>
    <w:bookmarkStart w:id="152" w:name="X392b4c91a5cc901cd1786f91855226bb7579e6b"/>
    <w:p>
      <w:pPr>
        <w:pStyle w:val="Heading2"/>
      </w:pPr>
      <w:r>
        <w:t xml:space="preserve">S33 — 4.1.1.12.d — Records management admin dashboard</w:t>
      </w:r>
    </w:p>
    <w:p>
      <w:pPr>
        <w:pStyle w:val="FirstParagraph"/>
      </w:pPr>
      <w:r>
        <w:t xml:space="preserve">Admin landing page available only to the Administrator / Records Manager groups. Surfaces records-management actions: ingest, reports, retention, audit, plugins.</w:t>
      </w:r>
    </w:p>
    <w:p>
      <w:pPr>
        <w:pStyle w:val="CaptionedFigure"/>
      </w:pPr>
      <w:r>
        <w:drawing>
          <wp:inline>
            <wp:extent cx="5334000" cy="31695628"/>
            <wp:effectExtent b="0" l="0" r="0" t="0"/>
            <wp:docPr descr="S33" title="" id="150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33-records-management-access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95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S33</w:t>
      </w:r>
    </w:p>
    <w:p>
      <w:pPr>
        <w:pStyle w:val="BodyText"/>
      </w:pPr>
      <w:r>
        <w:rPr>
          <w:rStyle w:val="VerbatimChar"/>
        </w:rPr>
        <w:t xml:space="preserve">S33-records-management-access.png</w:t>
      </w:r>
    </w:p>
    <w:bookmarkEnd w:id="152"/>
    <w:bookmarkStart w:id="156" w:name="X709c8b219c9cfe8afa9338862ad3ce59efccd29"/>
    <w:p>
      <w:pPr>
        <w:pStyle w:val="Heading2"/>
      </w:pPr>
      <w:r>
        <w:t xml:space="preserve">S34 — 4.1.1.12.e — Time-limited share-link — issue modal</w:t>
      </w:r>
    </w:p>
    <w:p>
      <w:pPr>
        <w:pStyle w:val="FirstParagraph"/>
      </w:pPr>
      <w:r>
        <w:t xml:space="preserve">F1 — modal launched from a record view. Sets expiry (default 14 d, cap 90 d), recipient email, optional note, optional max-visits quota. HMAC-SHA256 token; auto-revocation on expiry.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34" title="" id="154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34-share-link-issue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S34</w:t>
      </w:r>
    </w:p>
    <w:p>
      <w:pPr>
        <w:pStyle w:val="BodyText"/>
      </w:pPr>
      <w:r>
        <w:rPr>
          <w:rStyle w:val="VerbatimChar"/>
        </w:rPr>
        <w:t xml:space="preserve">S34-share-link-issue.png</w:t>
      </w:r>
    </w:p>
    <w:bookmarkEnd w:id="156"/>
    <w:bookmarkStart w:id="160" w:name="X54ebdb06cba5cb111c7b6dc316e164664ebad1e"/>
    <w:p>
      <w:pPr>
        <w:pStyle w:val="Heading2"/>
      </w:pPr>
      <w:r>
        <w:t xml:space="preserve">S35 — 4.1.1.12.e — Expired share-link in admin list</w:t>
      </w:r>
    </w:p>
    <w:p>
      <w:pPr>
        <w:pStyle w:val="FirstParagraph"/>
      </w:pPr>
      <w:r>
        <w:t xml:space="preserve">Admin index of every issued share link with status (active / expired / revoked / exhausted). Each row carries the recipient, issuer, expiry, visit count and revoke action.</w:t>
      </w:r>
    </w:p>
    <w:p>
      <w:pPr>
        <w:pStyle w:val="CaptionedFigure"/>
      </w:pPr>
      <w:r>
        <w:drawing>
          <wp:inline>
            <wp:extent cx="5334000" cy="3458765"/>
            <wp:effectExtent b="0" l="0" r="0" t="0"/>
            <wp:docPr descr="S35" title="" id="158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35-share-link-expired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8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S35</w:t>
      </w:r>
    </w:p>
    <w:p>
      <w:pPr>
        <w:pStyle w:val="BodyText"/>
      </w:pPr>
      <w:r>
        <w:rPr>
          <w:rStyle w:val="VerbatimChar"/>
        </w:rPr>
        <w:t xml:space="preserve">S35-share-link-expired.png</w:t>
      </w:r>
    </w:p>
    <w:bookmarkEnd w:id="160"/>
    <w:bookmarkStart w:id="164" w:name="s36-4.1.1.12.f-audit-trail-browse-list"/>
    <w:p>
      <w:pPr>
        <w:pStyle w:val="Heading2"/>
      </w:pPr>
      <w:r>
        <w:t xml:space="preserve">S36 — 4.1.1.12.f — Audit trail — browse list</w:t>
      </w:r>
    </w:p>
    <w:p>
      <w:pPr>
        <w:pStyle w:val="FirstParagraph"/>
      </w:pPr>
      <w:r>
        <w:t xml:space="preserve">Audit log browser with filter chips by user, action, module, date range. Powered by the</w:t>
      </w:r>
      <w:r>
        <w:t xml:space="preserve"> </w:t>
      </w:r>
      <w:r>
        <w:rPr>
          <w:rStyle w:val="VerbatimChar"/>
        </w:rPr>
        <w:t xml:space="preserve">ahg_audit_log</w:t>
      </w:r>
      <w:r>
        <w:t xml:space="preserve"> </w:t>
      </w:r>
      <w:r>
        <w:t xml:space="preserve">table; POPIA + NARSSA compliant.</w:t>
      </w:r>
    </w:p>
    <w:p>
      <w:pPr>
        <w:pStyle w:val="CaptionedFigure"/>
      </w:pPr>
      <w:r>
        <w:drawing>
          <wp:inline>
            <wp:extent cx="5334000" cy="12622410"/>
            <wp:effectExtent b="0" l="0" r="0" t="0"/>
            <wp:docPr descr="S36" title="" id="162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36-audit-trail-list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22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S36</w:t>
      </w:r>
    </w:p>
    <w:p>
      <w:pPr>
        <w:pStyle w:val="BodyText"/>
      </w:pPr>
      <w:r>
        <w:rPr>
          <w:rStyle w:val="VerbatimChar"/>
        </w:rPr>
        <w:t xml:space="preserve">S36-audit-trail-list.png</w:t>
      </w:r>
    </w:p>
    <w:bookmarkEnd w:id="164"/>
    <w:bookmarkStart w:id="168" w:name="X21af3ec9c72e420f4170589fb894e48723be9b6"/>
    <w:p>
      <w:pPr>
        <w:pStyle w:val="Heading2"/>
      </w:pPr>
      <w:r>
        <w:t xml:space="preserve">S37 — 4.1.1.12.f — Audit entry detail with JSON diff</w:t>
      </w:r>
    </w:p>
    <w:p>
      <w:pPr>
        <w:pStyle w:val="FirstParagraph"/>
      </w:pPr>
      <w:r>
        <w:t xml:space="preserve">One audit entry detail: UUID, user, request, IP, agent, security classification, plus the field-level JSON old-values / new-values diff.</w:t>
      </w:r>
    </w:p>
    <w:p>
      <w:pPr>
        <w:pStyle w:val="CaptionedFigure"/>
      </w:pPr>
      <w:r>
        <w:drawing>
          <wp:inline>
            <wp:extent cx="5334000" cy="4421385"/>
            <wp:effectExtent b="0" l="0" r="0" t="0"/>
            <wp:docPr descr="S37" title="" id="166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37-audit-trail-detail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1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S37</w:t>
      </w:r>
    </w:p>
    <w:p>
      <w:pPr>
        <w:pStyle w:val="BodyText"/>
      </w:pPr>
      <w:r>
        <w:rPr>
          <w:rStyle w:val="VerbatimChar"/>
        </w:rPr>
        <w:t xml:space="preserve">S37-audit-trail-detail.png</w:t>
      </w:r>
    </w:p>
    <w:bookmarkEnd w:id="168"/>
    <w:bookmarkStart w:id="172" w:name="Xe4ef04e9758f37608bda678157c2f8cf01e183e"/>
    <w:p>
      <w:pPr>
        <w:pStyle w:val="Heading2"/>
      </w:pPr>
      <w:r>
        <w:t xml:space="preserve">S38 — 4.1.1.13.a — Retention / Rights dashboard</w:t>
      </w:r>
    </w:p>
    <w:p>
      <w:pPr>
        <w:pStyle w:val="FirstParagraph"/>
      </w:pPr>
      <w:r>
        <w:t xml:space="preserve">Extended-rights dashboard with retention schedules by file-plan category, embargo counts and upcoming review dates. Driven by</w:t>
      </w:r>
      <w:r>
        <w:t xml:space="preserve"> </w:t>
      </w:r>
      <w:r>
        <w:rPr>
          <w:rStyle w:val="VerbatimChar"/>
        </w:rPr>
        <w:t xml:space="preserve">ahgExtendedRightsPlugin</w:t>
      </w:r>
      <w:r>
        <w:t xml:space="preserve">.</w:t>
      </w:r>
    </w:p>
    <w:p>
      <w:pPr>
        <w:pStyle w:val="CaptionedFigure"/>
      </w:pPr>
      <w:r>
        <w:drawing>
          <wp:inline>
            <wp:extent cx="5334000" cy="5029795"/>
            <wp:effectExtent b="0" l="0" r="0" t="0"/>
            <wp:docPr descr="S38" title="" id="170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38-retention-schedules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9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S38</w:t>
      </w:r>
    </w:p>
    <w:p>
      <w:pPr>
        <w:pStyle w:val="BodyText"/>
      </w:pPr>
      <w:r>
        <w:rPr>
          <w:rStyle w:val="VerbatimChar"/>
        </w:rPr>
        <w:t xml:space="preserve">S38-retention-schedules.png</w:t>
      </w:r>
    </w:p>
    <w:bookmarkEnd w:id="172"/>
    <w:bookmarkStart w:id="176" w:name="X2871b0897cd1d803b96b572843c10c7fb25b120"/>
    <w:p>
      <w:pPr>
        <w:pStyle w:val="Heading2"/>
      </w:pPr>
      <w:r>
        <w:t xml:space="preserve">S39 — 4.1.1.13.a — Record-level retention block</w:t>
      </w:r>
    </w:p>
    <w:p>
      <w:pPr>
        <w:pStyle w:val="FirstParagraph"/>
      </w:pPr>
      <w:r>
        <w:t xml:space="preserve">Information-object detail page sidebar showing the record’s retention category, expiry date and intended disposition action.</w:t>
      </w:r>
    </w:p>
    <w:p>
      <w:pPr>
        <w:pStyle w:val="CaptionedFigure"/>
      </w:pPr>
      <w:r>
        <w:drawing>
          <wp:inline>
            <wp:extent cx="5334000" cy="10384631"/>
            <wp:effectExtent b="0" l="0" r="0" t="0"/>
            <wp:docPr descr="S39" title="" id="174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39-record-retention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84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S39</w:t>
      </w:r>
    </w:p>
    <w:p>
      <w:pPr>
        <w:pStyle w:val="BodyText"/>
      </w:pPr>
      <w:r>
        <w:rPr>
          <w:rStyle w:val="VerbatimChar"/>
        </w:rPr>
        <w:t xml:space="preserve">S39-record-retention.png</w:t>
      </w:r>
    </w:p>
    <w:bookmarkEnd w:id="176"/>
    <w:bookmarkStart w:id="180" w:name="Xafad890e63674529dadb77e58fa2000be448ed6"/>
    <w:p>
      <w:pPr>
        <w:pStyle w:val="Heading2"/>
      </w:pPr>
      <w:r>
        <w:t xml:space="preserve">S40 — 4.1.1.13.b — Embargo / disposal review queue</w:t>
      </w:r>
    </w:p>
    <w:p>
      <w:pPr>
        <w:pStyle w:val="FirstParagraph"/>
      </w:pPr>
      <w:r>
        <w:t xml:space="preserve">Embargoes view from the Rights plugin — list of records whose embargo period has elapsed, awaiting reviewer approval before lifting / disposal.</w:t>
      </w:r>
    </w:p>
    <w:p>
      <w:pPr>
        <w:pStyle w:val="CaptionedFigure"/>
      </w:pPr>
      <w:r>
        <w:drawing>
          <wp:inline>
            <wp:extent cx="5334000" cy="3458765"/>
            <wp:effectExtent b="0" l="0" r="0" t="0"/>
            <wp:docPr descr="S40" title="" id="178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40-disposal-review-queue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8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S40</w:t>
      </w:r>
    </w:p>
    <w:p>
      <w:pPr>
        <w:pStyle w:val="BodyText"/>
      </w:pPr>
      <w:r>
        <w:rPr>
          <w:rStyle w:val="VerbatimChar"/>
        </w:rPr>
        <w:t xml:space="preserve">S40-disposal-review-queue.png</w:t>
      </w:r>
    </w:p>
    <w:bookmarkEnd w:id="180"/>
    <w:bookmarkStart w:id="184" w:name="Xc513c46ea5f79bcf3e71d75c228a3ab881fcff6"/>
    <w:p>
      <w:pPr>
        <w:pStyle w:val="Heading2"/>
      </w:pPr>
      <w:r>
        <w:t xml:space="preserve">S41 — 4.1.1.13.b — Disposal audit trail entry</w:t>
      </w:r>
    </w:p>
    <w:p>
      <w:pPr>
        <w:pStyle w:val="FirstParagraph"/>
      </w:pPr>
      <w:r>
        <w:t xml:space="preserve">Audit log filtered to delete / dispose actions. Each row tracks who reviewed, who approved and when the disposal was executed.</w:t>
      </w:r>
    </w:p>
    <w:p>
      <w:pPr>
        <w:pStyle w:val="CaptionedFigure"/>
      </w:pPr>
      <w:r>
        <w:drawing>
          <wp:inline>
            <wp:extent cx="5334000" cy="12622410"/>
            <wp:effectExtent b="0" l="0" r="0" t="0"/>
            <wp:docPr descr="S41" title="" id="182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41-disposal-audit-entry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22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S41</w:t>
      </w:r>
    </w:p>
    <w:p>
      <w:pPr>
        <w:pStyle w:val="BodyText"/>
      </w:pPr>
      <w:r>
        <w:rPr>
          <w:rStyle w:val="VerbatimChar"/>
        </w:rPr>
        <w:t xml:space="preserve">S41-disposal-audit-entry.png</w:t>
      </w:r>
    </w:p>
    <w:bookmarkEnd w:id="184"/>
    <w:bookmarkStart w:id="188" w:name="s42-4.1.1.14.c-popia-paia-dashboard"/>
    <w:p>
      <w:pPr>
        <w:pStyle w:val="Heading2"/>
      </w:pPr>
      <w:r>
        <w:t xml:space="preserve">S42 — 4.1.1.14.c — POPIA / PAIA dashboard</w:t>
      </w:r>
    </w:p>
    <w:p>
      <w:pPr>
        <w:pStyle w:val="FirstParagraph"/>
      </w:pPr>
      <w:r>
        <w:t xml:space="preserve">Privacy dashboard with active jurisdiction (POPIA / PAIA), PII pattern coverage, DSAR queue summary and breach-incident counter.</w:t>
      </w:r>
    </w:p>
    <w:p>
      <w:pPr>
        <w:pStyle w:val="CaptionedFigure"/>
      </w:pPr>
      <w:r>
        <w:drawing>
          <wp:inline>
            <wp:extent cx="5334000" cy="5984081"/>
            <wp:effectExtent b="0" l="0" r="0" t="0"/>
            <wp:docPr descr="S42" title="" id="186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42-popia-dashboard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4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S42</w:t>
      </w:r>
    </w:p>
    <w:p>
      <w:pPr>
        <w:pStyle w:val="BodyText"/>
      </w:pPr>
      <w:r>
        <w:rPr>
          <w:rStyle w:val="VerbatimChar"/>
        </w:rPr>
        <w:t xml:space="preserve">S42-popia-dashboard.png</w:t>
      </w:r>
    </w:p>
    <w:bookmarkEnd w:id="188"/>
    <w:bookmarkStart w:id="192" w:name="s43-4.1.1.14.c-pii-scan-cli-output"/>
    <w:p>
      <w:pPr>
        <w:pStyle w:val="Heading2"/>
      </w:pPr>
      <w:r>
        <w:t xml:space="preserve">S43 — 4.1.1.14.c — PII scan — CLI output</w:t>
      </w:r>
    </w:p>
    <w:p>
      <w:pPr>
        <w:pStyle w:val="FirstParagraph"/>
      </w:pPr>
      <w:r>
        <w:t xml:space="preserve">Console output from</w:t>
      </w:r>
      <w:r>
        <w:t xml:space="preserve"> </w:t>
      </w:r>
      <w:r>
        <w:rPr>
          <w:rStyle w:val="VerbatimChar"/>
        </w:rPr>
        <w:t xml:space="preserve">php symfony privacy:scan-pii --jurisdiction=ZA</w:t>
      </w:r>
      <w:r>
        <w:t xml:space="preserve"> </w:t>
      </w:r>
      <w:r>
        <w:t xml:space="preserve">showing detected SA ID numbers, phone numbers and email addresses with the field and excerpt.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43" title="" id="190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43-pii-scan-output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S43</w:t>
      </w:r>
    </w:p>
    <w:p>
      <w:pPr>
        <w:pStyle w:val="BodyText"/>
      </w:pPr>
      <w:r>
        <w:rPr>
          <w:rStyle w:val="VerbatimChar"/>
        </w:rPr>
        <w:t xml:space="preserve">S43-pii-scan-output.png</w:t>
      </w:r>
    </w:p>
    <w:bookmarkEnd w:id="192"/>
    <w:bookmarkStart w:id="196" w:name="X01d9d4ccd1e508a1a9b000498ca5c1570fd1006"/>
    <w:p>
      <w:pPr>
        <w:pStyle w:val="Heading2"/>
      </w:pPr>
      <w:r>
        <w:t xml:space="preserve">S44 — 4.1.1.14.e — Audit statistics — POPIA-ready report</w:t>
      </w:r>
    </w:p>
    <w:p>
      <w:pPr>
        <w:pStyle w:val="FirstParagraph"/>
      </w:pPr>
      <w:r>
        <w:t xml:space="preserve">Audit statistics aggregated by module / action / user / time — POPIA-compliant audit reporting baseline. Exportable to CSV / PDF.</w:t>
      </w:r>
    </w:p>
    <w:p>
      <w:pPr>
        <w:pStyle w:val="CaptionedFigure"/>
      </w:pPr>
      <w:r>
        <w:drawing>
          <wp:inline>
            <wp:extent cx="5334000" cy="4042171"/>
            <wp:effectExtent b="0" l="0" r="0" t="0"/>
            <wp:docPr descr="S44" title="" id="194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44-popia-audit-report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2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S44</w:t>
      </w:r>
    </w:p>
    <w:p>
      <w:pPr>
        <w:pStyle w:val="BodyText"/>
      </w:pPr>
      <w:r>
        <w:rPr>
          <w:rStyle w:val="VerbatimChar"/>
        </w:rPr>
        <w:t xml:space="preserve">S44-popia-audit-report.png</w:t>
      </w:r>
    </w:p>
    <w:bookmarkEnd w:id="196"/>
    <w:bookmarkStart w:id="200" w:name="s45-4.1.1.14.f-per-user-activity-report"/>
    <w:p>
      <w:pPr>
        <w:pStyle w:val="Heading2"/>
      </w:pPr>
      <w:r>
        <w:t xml:space="preserve">S45 — 4.1.1.14.f — Per-user activity report</w:t>
      </w:r>
    </w:p>
    <w:p>
      <w:pPr>
        <w:pStyle w:val="FirstParagraph"/>
      </w:pPr>
      <w:r>
        <w:t xml:space="preserve">Activity report for a specific user: login count, records viewed, records modified, share links issued, version restores, with timeline of recent actions.</w:t>
      </w:r>
    </w:p>
    <w:p>
      <w:pPr>
        <w:pStyle w:val="CaptionedFigure"/>
      </w:pPr>
      <w:r>
        <w:drawing>
          <wp:inline>
            <wp:extent cx="5334000" cy="4508896"/>
            <wp:effectExtent b="0" l="0" r="0" t="0"/>
            <wp:docPr descr="S45" title="" id="198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45-user-activity-report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8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S45</w:t>
      </w:r>
    </w:p>
    <w:p>
      <w:pPr>
        <w:pStyle w:val="BodyText"/>
      </w:pPr>
      <w:r>
        <w:rPr>
          <w:rStyle w:val="VerbatimChar"/>
        </w:rPr>
        <w:t xml:space="preserve">S45-user-activity-report.png</w:t>
      </w:r>
    </w:p>
    <w:bookmarkEnd w:id="200"/>
    <w:bookmarkStart w:id="204" w:name="Xcea4a833ad55860f4f34bf7d4d53130a48faa35"/>
    <w:p>
      <w:pPr>
        <w:pStyle w:val="Heading2"/>
      </w:pPr>
      <w:r>
        <w:t xml:space="preserve">S46 — 4.1.1.14.g — Metadata integrity verification</w:t>
      </w:r>
    </w:p>
    <w:p>
      <w:pPr>
        <w:pStyle w:val="FirstParagraph"/>
      </w:pPr>
      <w:r>
        <w:t xml:space="preserve">Integrity-check report listing records missing required metadata or with invalid field values per the active descriptive standard.</w:t>
      </w:r>
    </w:p>
    <w:p>
      <w:pPr>
        <w:pStyle w:val="CaptionedFigure"/>
      </w:pPr>
      <w:r>
        <w:drawing>
          <wp:inline>
            <wp:extent cx="5334000" cy="5925740"/>
            <wp:effectExtent b="0" l="0" r="0" t="0"/>
            <wp:docPr descr="S46" title="" id="202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46-metadata-integrity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5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S46</w:t>
      </w:r>
    </w:p>
    <w:p>
      <w:pPr>
        <w:pStyle w:val="BodyText"/>
      </w:pPr>
      <w:r>
        <w:rPr>
          <w:rStyle w:val="VerbatimChar"/>
        </w:rPr>
        <w:t xml:space="preserve">S46-metadata-integrity.png</w:t>
      </w:r>
    </w:p>
    <w:bookmarkEnd w:id="204"/>
    <w:bookmarkStart w:id="208" w:name="Xa4dd2de99efb51d7fd644c5397bf5d91f3120b7"/>
    <w:p>
      <w:pPr>
        <w:pStyle w:val="Heading2"/>
      </w:pPr>
      <w:r>
        <w:t xml:space="preserve">S47 — 4.1.1.14.h — Lifecycle compliance — rights summary</w:t>
      </w:r>
    </w:p>
    <w:p>
      <w:pPr>
        <w:pStyle w:val="FirstParagraph"/>
      </w:pPr>
      <w:r>
        <w:t xml:space="preserve">Extended rights summary by retention category: % compliant, count past due review, count past disposal date. Surfaces lifecycle status across the whole collection.</w:t>
      </w:r>
    </w:p>
    <w:p>
      <w:pPr>
        <w:pStyle w:val="CaptionedFigure"/>
      </w:pPr>
      <w:r>
        <w:drawing>
          <wp:inline>
            <wp:extent cx="5334000" cy="5029795"/>
            <wp:effectExtent b="0" l="0" r="0" t="0"/>
            <wp:docPr descr="S47" title="" id="206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47-lifecycle-compliance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9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S47</w:t>
      </w:r>
    </w:p>
    <w:p>
      <w:pPr>
        <w:pStyle w:val="BodyText"/>
      </w:pPr>
      <w:r>
        <w:rPr>
          <w:rStyle w:val="VerbatimChar"/>
        </w:rPr>
        <w:t xml:space="preserve">S47-lifecycle-compliance.png</w:t>
      </w:r>
    </w:p>
    <w:bookmarkEnd w:id="208"/>
    <w:bookmarkStart w:id="212" w:name="X75f1e8e47d1af4641a4f698384733d6a9c10d86"/>
    <w:p>
      <w:pPr>
        <w:pStyle w:val="Heading2"/>
      </w:pPr>
      <w:r>
        <w:t xml:space="preserve">S48 — clause 2 + 4.1.3.1 — Multi-tenant</w:t>
      </w:r>
      <w:r>
        <w:t xml:space="preserve"> </w:t>
      </w:r>
      <w:r>
        <w:t xml:space="preserve">“</w:t>
      </w:r>
      <w:r>
        <w:t xml:space="preserve">one instance</w:t>
      </w:r>
      <w:r>
        <w:t xml:space="preserve">”</w:t>
      </w:r>
      <w:r>
        <w:t xml:space="preserve"> </w:t>
      </w:r>
      <w:r>
        <w:t xml:space="preserve">model</w:t>
      </w:r>
    </w:p>
    <w:p>
      <w:pPr>
        <w:pStyle w:val="FirstParagraph"/>
      </w:pPr>
      <w:r>
        <w:t xml:space="preserve">Schema + capabilities of the</w:t>
      </w:r>
      <w:r>
        <w:t xml:space="preserve"> </w:t>
      </w:r>
      <w:r>
        <w:rPr>
          <w:rStyle w:val="VerbatimChar"/>
        </w:rPr>
        <w:t xml:space="preserve">ahgMultiTenantPlugin</w:t>
      </w:r>
      <w:r>
        <w:t xml:space="preserve"> </w:t>
      </w:r>
      <w:r>
        <w:t xml:space="preserve">built by AHG for SITA/NARSSA. Currently inactive on the demo instance; activates per-deployment to deliver the</w:t>
      </w:r>
      <w:r>
        <w:t xml:space="preserve"> </w:t>
      </w:r>
      <w:r>
        <w:t xml:space="preserve">“</w:t>
      </w:r>
      <w:r>
        <w:t xml:space="preserve">single AtoM</w:t>
      </w:r>
      <w:r>
        <w:t xml:space="preserve">”</w:t>
      </w:r>
      <w:r>
        <w:t xml:space="preserve"> </w:t>
      </w:r>
      <w:r>
        <w:t xml:space="preserve">model.</w:t>
      </w:r>
    </w:p>
    <w:p>
      <w:pPr>
        <w:pStyle w:val="CaptionedFigure"/>
      </w:pPr>
      <w:r>
        <w:drawing>
          <wp:inline>
            <wp:extent cx="5334000" cy="4138017"/>
            <wp:effectExtent b="0" l="0" r="0" t="0"/>
            <wp:docPr descr="S48" title="" id="210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48-multi-tenant-admin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8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S48</w:t>
      </w:r>
    </w:p>
    <w:p>
      <w:pPr>
        <w:pStyle w:val="BodyText"/>
      </w:pPr>
      <w:r>
        <w:rPr>
          <w:rStyle w:val="VerbatimChar"/>
        </w:rPr>
        <w:t xml:space="preserve">S48-multi-tenant-admin.png</w:t>
      </w:r>
    </w:p>
    <w:bookmarkEnd w:id="212"/>
    <w:bookmarkStart w:id="216" w:name="s49-4.1.3.5-ahg-settings-admin-surface"/>
    <w:p>
      <w:pPr>
        <w:pStyle w:val="Heading2"/>
      </w:pPr>
      <w:r>
        <w:t xml:space="preserve">S49 — 4.1.3.5 — AHG settings — admin surface</w:t>
      </w:r>
    </w:p>
    <w:p>
      <w:pPr>
        <w:pStyle w:val="FirstParagraph"/>
      </w:pPr>
      <w:r>
        <w:t xml:space="preserve">Central AHG settings admin: theme, branding, IIIF, ingest defaults, audit retention, share-link policy. Configuration is portable — proves GCIS-owned configuration can be exported and migrated.</w:t>
      </w:r>
    </w:p>
    <w:p>
      <w:pPr>
        <w:pStyle w:val="CaptionedFigure"/>
      </w:pPr>
      <w:r>
        <w:drawing>
          <wp:inline>
            <wp:extent cx="5334000" cy="18264782"/>
            <wp:effectExtent b="0" l="0" r="0" t="0"/>
            <wp:docPr descr="S49" title="" id="214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S49-settings-export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64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S49</w:t>
      </w:r>
    </w:p>
    <w:p>
      <w:pPr>
        <w:pStyle w:val="BodyText"/>
      </w:pPr>
      <w:r>
        <w:rPr>
          <w:rStyle w:val="VerbatimChar"/>
        </w:rPr>
        <w:t xml:space="preserve">S49-settings-export.png</w:t>
      </w:r>
    </w:p>
    <w:bookmarkEnd w:id="216"/>
    <w:bookmarkStart w:id="220" w:name="X31ccad26a3b89f85f9e50c8b1d9becf97d59819"/>
    <w:p>
      <w:pPr>
        <w:pStyle w:val="Heading2"/>
      </w:pPr>
      <w:r>
        <w:t xml:space="preserve">X1 — exceeds — AHG plugin catalogue — installed and active</w:t>
      </w:r>
    </w:p>
    <w:p>
      <w:pPr>
        <w:pStyle w:val="FirstParagraph"/>
      </w:pPr>
      <w:r>
        <w:t xml:space="preserve">Plugin admin view showing the breadth of the AHG catalogue active on the demo. Demonstrates depth of the platform beyond the minimum bid scope.</w:t>
      </w:r>
    </w:p>
    <w:p>
      <w:pPr>
        <w:pStyle w:val="CaptionedFigure"/>
      </w:pPr>
      <w:r>
        <w:drawing>
          <wp:inline>
            <wp:extent cx="5334000" cy="3712964"/>
            <wp:effectExtent b="0" l="0" r="0" t="0"/>
            <wp:docPr descr="X1" title="" id="218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X1-plugin-catalogue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2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X1</w:t>
      </w:r>
    </w:p>
    <w:p>
      <w:pPr>
        <w:pStyle w:val="BodyText"/>
      </w:pPr>
      <w:r>
        <w:rPr>
          <w:rStyle w:val="VerbatimChar"/>
        </w:rPr>
        <w:t xml:space="preserve">X1-plugin-catalogue.png</w:t>
      </w:r>
    </w:p>
    <w:bookmarkEnd w:id="220"/>
    <w:bookmarkStart w:id="224" w:name="X888a402d36a8c7267703025d607e1f77ca527ff"/>
    <w:p>
      <w:pPr>
        <w:pStyle w:val="Heading2"/>
      </w:pPr>
      <w:r>
        <w:t xml:space="preserve">X2 — exceeds (OAIS) — OAIS-aligned SIP / AIP / DIP package</w:t>
      </w:r>
    </w:p>
    <w:p>
      <w:pPr>
        <w:pStyle w:val="FirstParagraph"/>
      </w:pPr>
      <w:r>
        <w:t xml:space="preserve">File tree of a committed OAIS Archival Information Package: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premis.json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objects/</w:t>
      </w:r>
      <w:r>
        <w:t xml:space="preserve">, submission documentation. Conforms to ISO 14721:2012.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X2" title="" id="222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X2-oais-sip-aip-dip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X2</w:t>
      </w:r>
    </w:p>
    <w:p>
      <w:pPr>
        <w:pStyle w:val="BodyText"/>
      </w:pPr>
      <w:r>
        <w:rPr>
          <w:rStyle w:val="VerbatimChar"/>
        </w:rPr>
        <w:t xml:space="preserve">X2-oais-sip-aip-dip.png</w:t>
      </w:r>
    </w:p>
    <w:bookmarkEnd w:id="224"/>
    <w:bookmarkStart w:id="228" w:name="X977d0328c1a4749c6515e7f7ac82343e5d6acde"/>
    <w:p>
      <w:pPr>
        <w:pStyle w:val="Heading2"/>
      </w:pPr>
      <w:r>
        <w:t xml:space="preserve">X3 — exceeds (IIIF) — IIIF viewer for digitised content</w:t>
      </w:r>
    </w:p>
    <w:p>
      <w:pPr>
        <w:pStyle w:val="FirstParagraph"/>
      </w:pPr>
      <w:r>
        <w:t xml:space="preserve">High-res IIIF deep-zoom viewer on a digitised page. Annotation layer + searchable OCR overlay (ahgIiifPlugin).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X3" title="" id="226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X3-iiif-viewer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X3</w:t>
      </w:r>
    </w:p>
    <w:p>
      <w:pPr>
        <w:pStyle w:val="BodyText"/>
      </w:pPr>
      <w:r>
        <w:rPr>
          <w:rStyle w:val="VerbatimChar"/>
        </w:rPr>
        <w:t xml:space="preserve">X3-iiif-viewer.png</w:t>
      </w:r>
    </w:p>
    <w:bookmarkEnd w:id="228"/>
    <w:bookmarkStart w:id="232" w:name="x4-exceeds-api-webhook-delivery-log"/>
    <w:p>
      <w:pPr>
        <w:pStyle w:val="Heading2"/>
      </w:pPr>
      <w:r>
        <w:t xml:space="preserve">X4 — exceeds (API) — Webhook delivery log</w:t>
      </w:r>
    </w:p>
    <w:p>
      <w:pPr>
        <w:pStyle w:val="FirstParagraph"/>
      </w:pPr>
      <w:r>
        <w:t xml:space="preserve">Per-event webhook delivery log: each subscribed system receives POST callbacks on archive events (description.create, dsar.created, retention.due). Retries on failure with exponential back-off.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X4" title="" id="230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X4-webhook-delivery.pn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X4</w:t>
      </w:r>
    </w:p>
    <w:p>
      <w:pPr>
        <w:pStyle w:val="BodyText"/>
      </w:pPr>
      <w:r>
        <w:rPr>
          <w:rStyle w:val="VerbatimChar"/>
        </w:rPr>
        <w:t xml:space="preserve">X4-webhook-delivery.png</w:t>
      </w:r>
    </w:p>
    <w:bookmarkEnd w:id="232"/>
    <w:bookmarkStart w:id="236" w:name="x5-exceeds-ux-responsive-mobile-view"/>
    <w:p>
      <w:pPr>
        <w:pStyle w:val="Heading2"/>
      </w:pPr>
      <w:r>
        <w:t xml:space="preserve">X5 — exceeds (UX) — Responsive / mobile view</w:t>
      </w:r>
    </w:p>
    <w:p>
      <w:pPr>
        <w:pStyle w:val="FirstParagraph"/>
      </w:pPr>
      <w:r>
        <w:t xml:space="preserve">Same archival record on a mobile viewport (414 × 896). Bootstrap 5 theme reflows; tablet and phone are first-class clients.</w:t>
      </w:r>
    </w:p>
    <w:p>
      <w:pPr>
        <w:pStyle w:val="CaptionedFigure"/>
      </w:pPr>
      <w:r>
        <w:drawing>
          <wp:inline>
            <wp:extent cx="5257800" cy="11379200"/>
            <wp:effectExtent b="0" l="0" r="0" t="0"/>
            <wp:docPr descr="X5" title="" id="234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X5-responsive-mobile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137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X5</w:t>
      </w:r>
    </w:p>
    <w:p>
      <w:pPr>
        <w:pStyle w:val="BodyText"/>
      </w:pPr>
      <w:r>
        <w:rPr>
          <w:rStyle w:val="VerbatimChar"/>
        </w:rPr>
        <w:t xml:space="preserve">X5-responsive-mobile.png</w:t>
      </w:r>
    </w:p>
    <w:bookmarkEnd w:id="236"/>
    <w:bookmarkStart w:id="240" w:name="x6-exceeds-backup-backup-restore-admin"/>
    <w:p>
      <w:pPr>
        <w:pStyle w:val="Heading2"/>
      </w:pPr>
      <w:r>
        <w:t xml:space="preserve">X6 — exceeds (backup) — Backup &amp; restore admin</w:t>
      </w:r>
    </w:p>
    <w:p>
      <w:pPr>
        <w:pStyle w:val="FirstParagraph"/>
      </w:pPr>
      <w:r>
        <w:t xml:space="preserve">Backup history with sizes, dates and a tested-restore indicator. Surfaces the operational confidence GCIS needs to commit to the platform.</w:t>
      </w:r>
    </w:p>
    <w:p>
      <w:pPr>
        <w:pStyle w:val="CaptionedFigure"/>
      </w:pPr>
      <w:r>
        <w:drawing>
          <wp:inline>
            <wp:extent cx="5334000" cy="5163145"/>
            <wp:effectExtent b="0" l="0" r="0" t="0"/>
            <wp:docPr descr="X6" title="" id="238" name="Picture"/>
            <a:graphic>
              <a:graphicData uri="http://schemas.openxmlformats.org/drawingml/2006/picture">
                <pic:pic>
                  <pic:nvPicPr>
                    <pic:cNvPr descr="/usr/share/nginx/archive/atom-ahg-plugins/testing/playwright/screenshots/X6-backup-restore.pn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3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X6</w:t>
      </w:r>
    </w:p>
    <w:p>
      <w:pPr>
        <w:pStyle w:val="BodyText"/>
      </w:pPr>
      <w:r>
        <w:rPr>
          <w:rStyle w:val="VerbatimChar"/>
        </w:rPr>
        <w:t xml:space="preserve">X6-backup-restore.png</w:t>
      </w:r>
    </w:p>
    <w:bookmarkEnd w:id="240"/>
    <w:bookmarkEnd w:id="2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29" Target="media/rId29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33" Target="media/rId33.png" /><Relationship Type="http://schemas.openxmlformats.org/officeDocument/2006/relationships/image" Id="rId177" Target="media/rId177.png" /><Relationship Type="http://schemas.openxmlformats.org/officeDocument/2006/relationships/image" Id="rId181" Target="media/rId181.png" /><Relationship Type="http://schemas.openxmlformats.org/officeDocument/2006/relationships/image" Id="rId185" Target="media/rId185.png" /><Relationship Type="http://schemas.openxmlformats.org/officeDocument/2006/relationships/image" Id="rId189" Target="media/rId189.png" /><Relationship Type="http://schemas.openxmlformats.org/officeDocument/2006/relationships/image" Id="rId193" Target="media/rId193.png" /><Relationship Type="http://schemas.openxmlformats.org/officeDocument/2006/relationships/image" Id="rId197" Target="media/rId197.png" /><Relationship Type="http://schemas.openxmlformats.org/officeDocument/2006/relationships/image" Id="rId201" Target="media/rId201.png" /><Relationship Type="http://schemas.openxmlformats.org/officeDocument/2006/relationships/image" Id="rId205" Target="media/rId205.png" /><Relationship Type="http://schemas.openxmlformats.org/officeDocument/2006/relationships/image" Id="rId209" Target="media/rId209.png" /><Relationship Type="http://schemas.openxmlformats.org/officeDocument/2006/relationships/image" Id="rId213" Target="media/rId21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217" Target="media/rId217.png" /><Relationship Type="http://schemas.openxmlformats.org/officeDocument/2006/relationships/image" Id="rId221" Target="media/rId221.png" /><Relationship Type="http://schemas.openxmlformats.org/officeDocument/2006/relationships/image" Id="rId225" Target="media/rId225.png" /><Relationship Type="http://schemas.openxmlformats.org/officeDocument/2006/relationships/image" Id="rId229" Target="media/rId229.png" /><Relationship Type="http://schemas.openxmlformats.org/officeDocument/2006/relationships/image" Id="rId233" Target="media/rId233.png" /><Relationship Type="http://schemas.openxmlformats.org/officeDocument/2006/relationships/image" Id="rId237" Target="media/rId2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GCIS RFB-001 — Evidence Index</dc:title>
  <dc:creator>The Archive and Heritage Group (Pty) Ltd</dc:creator>
  <cp:keywords/>
  <dcterms:created xsi:type="dcterms:W3CDTF">2026-05-12T12:00:35Z</dcterms:created>
  <dcterms:modified xsi:type="dcterms:W3CDTF">2026-05-12T12:00:35Z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